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02BB3">
      <w:pPr>
        <w:rPr>
          <w:rFonts w:hint="eastAsia" w:ascii="黑体" w:hAnsi="黑体" w:eastAsia="黑体"/>
          <w:sz w:val="32"/>
          <w:szCs w:val="32"/>
        </w:rPr>
      </w:pPr>
    </w:p>
    <w:p w14:paraId="7CB94CD6">
      <w:pPr>
        <w:jc w:val="center"/>
        <w:rPr>
          <w:rFonts w:hint="eastAsia" w:ascii="方正小标宋_GBK" w:hAnsi="宋体" w:eastAsia="方正小标宋_GBK"/>
          <w:sz w:val="44"/>
          <w:szCs w:val="44"/>
        </w:rPr>
      </w:pPr>
    </w:p>
    <w:p w14:paraId="6BC5B3A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木垒哈萨克自治县人大常委会办公室</w:t>
      </w:r>
    </w:p>
    <w:p w14:paraId="1A8964D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3EE198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055CA8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646596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3E0BA83">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F5FD94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B1F60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DCB6A5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FBB61B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29FDE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A2C8E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A6EE6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B8BA86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7C8AD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8C302C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C4F54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A6B9C8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D6007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812AF8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FE5367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76784A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9595D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45B44E1">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C6E436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D1CB43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139733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40721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0A142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5905A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DF0B9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6FA47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AA835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222471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80CFB8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519D476">
      <w:r>
        <w:rPr>
          <w:rFonts w:hint="eastAsia" w:ascii="仿宋_GB2312" w:hAnsi="仿宋_GB2312" w:eastAsia="仿宋_GB2312" w:cs="仿宋_GB2312"/>
          <w:sz w:val="32"/>
          <w:szCs w:val="32"/>
        </w:rPr>
        <w:fldChar w:fldCharType="end"/>
      </w:r>
    </w:p>
    <w:p w14:paraId="5AF8A714">
      <w:pPr>
        <w:rPr>
          <w:rFonts w:ascii="仿宋_GB2312" w:eastAsia="仿宋_GB2312"/>
          <w:sz w:val="32"/>
          <w:szCs w:val="32"/>
        </w:rPr>
      </w:pPr>
      <w:r>
        <w:rPr>
          <w:rFonts w:hint="eastAsia" w:ascii="仿宋_GB2312" w:eastAsia="仿宋_GB2312"/>
          <w:sz w:val="32"/>
          <w:szCs w:val="32"/>
        </w:rPr>
        <w:br w:type="page"/>
      </w:r>
    </w:p>
    <w:p w14:paraId="102E9FE8">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7B94180">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B312A4C">
      <w:pPr>
        <w:spacing w:line="600" w:lineRule="exact"/>
        <w:ind w:firstLine="640" w:firstLineChars="200"/>
        <w:rPr>
          <w:rFonts w:hint="eastAsia" w:ascii="仿宋_GB2312" w:hAnsi="黑体" w:eastAsia="仿宋_GB2312" w:cs="宋体"/>
          <w:bCs/>
          <w:kern w:val="0"/>
          <w:sz w:val="32"/>
          <w:szCs w:val="32"/>
        </w:rPr>
      </w:pPr>
      <w:bookmarkStart w:id="4" w:name="_Toc31238"/>
      <w:bookmarkStart w:id="5" w:name="_Toc2151"/>
      <w:r>
        <w:rPr>
          <w:rFonts w:hint="eastAsia" w:ascii="仿宋_GB2312" w:hAnsi="黑体" w:eastAsia="仿宋_GB2312" w:cs="宋体"/>
          <w:bCs/>
          <w:kern w:val="0"/>
          <w:sz w:val="32"/>
          <w:szCs w:val="32"/>
        </w:rPr>
        <w:t>1.对全县政府法制工作进行规划、协调、监督、服务；承担自治县人民政府在依法行政方面的参谋、助手和法律顾问职责；承担自治县依法行政指导工作。</w:t>
      </w:r>
    </w:p>
    <w:p w14:paraId="0830817A">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人民代表大会、常委会会议、主任会议、党组会议以及县人大常委会召开的其他会议的筹备和会务工作，对会议决定的事项负责催办，抓好落实。组织有关部门拟定自治县人民政府立法（议案）年度计划，上报县人民政府审议；负责组织、指导、协调自治县自治条例、单行条例草案的起草、审查、修改工作，提请政府常务会议审议；负责贯彻落实自治县自治条例、单行条例立法工作专家咨询论证制度、听证制度、向社会公开征求意见制度。</w:t>
      </w:r>
    </w:p>
    <w:p w14:paraId="47E3CCF5">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3.负责对自治县各级行政机关规范性文件的合法性审查工作进行统筹规划、业务指导、监督检查</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负责自治县人民政府及自治县人民政府办公室规范性文件的合法性审查工作。</w:t>
      </w:r>
    </w:p>
    <w:p w14:paraId="093AB038">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4.负责自治县规范性文件备案审查工作。</w:t>
      </w:r>
    </w:p>
    <w:p w14:paraId="2B870653">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5.加强调查研究，搞好信息交流，主动提出常委会会议、主任会议审议讨论事项的意见和建议。</w:t>
      </w:r>
    </w:p>
    <w:p w14:paraId="760A578B">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指导自治县行政执法部门的行政执法工作，加强行政执法监督，负责本县人民政府行政执法监督的具体组织实施工作；组织协调、监督指导、总结交流自治县贯彻落实行政执法责任制工作；协调行政执法中的矛盾和争议，依法纠正违法的行政执法行为；建立评议考核和执法过错责任追究制度。</w:t>
      </w:r>
    </w:p>
    <w:p w14:paraId="05CD74F2">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7.指导、监督、协调全县行政复议、行政应诉和行政赔偿工作；承办自治县人民政府依法管辖的行政复议、行政应诉和行政赔偿案件；受县政府领导委托，承办涉及自治县人民政府的</w:t>
      </w:r>
      <w:r>
        <w:rPr>
          <w:rFonts w:hint="eastAsia" w:ascii="仿宋_GB2312" w:hAnsi="黑体" w:eastAsia="仿宋_GB2312" w:cs="宋体"/>
          <w:bCs/>
          <w:kern w:val="0"/>
          <w:sz w:val="32"/>
          <w:szCs w:val="32"/>
          <w:lang w:eastAsia="zh-CN"/>
        </w:rPr>
        <w:t>其他诉讼</w:t>
      </w:r>
      <w:r>
        <w:rPr>
          <w:rFonts w:hint="eastAsia" w:ascii="仿宋_GB2312" w:hAnsi="黑体" w:eastAsia="仿宋_GB2312" w:cs="宋体"/>
          <w:bCs/>
          <w:kern w:val="0"/>
          <w:sz w:val="32"/>
          <w:szCs w:val="32"/>
        </w:rPr>
        <w:t>事务。</w:t>
      </w:r>
    </w:p>
    <w:p w14:paraId="697628D0">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8.承担领导干部依法行政法律知识培训、考核相关职责；组织指导本级政府法制机构工作人员和行政机关工作人员公共法律知识培训；负责依法行政、政府法制宣传和理论研究工作。</w:t>
      </w:r>
    </w:p>
    <w:p w14:paraId="6C24235A">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16D23A3">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木垒哈萨克自治县人大常委会办公室2023年度，实有人数48人，其中：在职人员24人，离休人员0人，退休人员24人。</w:t>
      </w:r>
    </w:p>
    <w:p w14:paraId="5A009B6A">
      <w:pPr>
        <w:spacing w:line="600" w:lineRule="exact"/>
        <w:ind w:firstLine="640" w:firstLineChars="200"/>
        <w:rPr>
          <w:rFonts w:hint="eastAsia" w:ascii="仿宋_GB2312" w:hAnsi="黑体" w:eastAsia="仿宋_GB2312" w:cs="宋体"/>
          <w:bCs/>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单位无下属预算单位，下设6个处室，分别是：人大办公室、法制工作委员会、财经工作委员会、代表人事工作委员会、民族侨务工作委员会、教科文卫工作委员会。</w:t>
      </w:r>
    </w:p>
    <w:p w14:paraId="7C998831">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90AAD33">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9A33880">
      <w:pPr>
        <w:ind w:firstLine="640" w:firstLineChars="200"/>
        <w:jc w:val="left"/>
        <w:rPr>
          <w:rFonts w:ascii="仿宋_GB2312" w:eastAsia="仿宋_GB2312"/>
          <w:sz w:val="32"/>
          <w:szCs w:val="32"/>
        </w:rPr>
      </w:pPr>
      <w:r>
        <w:rPr>
          <w:rFonts w:hint="eastAsia" w:ascii="仿宋_GB2312" w:eastAsia="仿宋_GB2312"/>
          <w:sz w:val="32"/>
          <w:szCs w:val="32"/>
        </w:rPr>
        <w:t>2023年度收入总计675.62万元，其中：本年收入合计675.62万元，使用非财政拨款结余0.00万元，年初结转和结余0.00万元。</w:t>
      </w:r>
    </w:p>
    <w:p w14:paraId="25BB381B">
      <w:pPr>
        <w:ind w:firstLine="640" w:firstLineChars="200"/>
        <w:jc w:val="left"/>
        <w:rPr>
          <w:rFonts w:ascii="仿宋_GB2312" w:eastAsia="仿宋_GB2312"/>
          <w:sz w:val="32"/>
          <w:szCs w:val="32"/>
        </w:rPr>
      </w:pPr>
      <w:r>
        <w:rPr>
          <w:rFonts w:hint="eastAsia" w:ascii="仿宋_GB2312" w:eastAsia="仿宋_GB2312"/>
          <w:sz w:val="32"/>
          <w:szCs w:val="32"/>
        </w:rPr>
        <w:t>2023年度支出总计675.62万元，其中：本年支出合计675.62万元，结余分配0.00万元，年末结转和结余0.00万元。</w:t>
      </w:r>
    </w:p>
    <w:p w14:paraId="1A6420B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增加100.28万元</w:t>
      </w:r>
      <w:r>
        <w:rPr>
          <w:rFonts w:hint="eastAsia" w:ascii="仿宋_GB2312" w:eastAsia="仿宋_GB2312"/>
          <w:sz w:val="32"/>
          <w:szCs w:val="32"/>
        </w:rPr>
        <w:t>，增长17.43%，主要原因是：本年增加调研、视察、检查工作</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0E484CE6">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06BAD86B">
      <w:pPr>
        <w:ind w:firstLine="640" w:firstLineChars="200"/>
        <w:jc w:val="left"/>
        <w:rPr>
          <w:rFonts w:ascii="仿宋_GB2312" w:eastAsia="仿宋_GB2312"/>
          <w:sz w:val="32"/>
          <w:szCs w:val="32"/>
        </w:rPr>
      </w:pPr>
      <w:r>
        <w:rPr>
          <w:rFonts w:hint="eastAsia" w:ascii="仿宋_GB2312" w:eastAsia="仿宋_GB2312"/>
          <w:sz w:val="32"/>
          <w:szCs w:val="32"/>
        </w:rPr>
        <w:t>本年收入675.62万元，其中：财政拨款收入</w:t>
      </w:r>
      <w:r>
        <w:rPr>
          <w:rFonts w:hint="eastAsia" w:ascii="仿宋_GB2312" w:eastAsia="仿宋_GB2312"/>
          <w:sz w:val="32"/>
          <w:szCs w:val="32"/>
          <w:lang w:val="zh-CN"/>
        </w:rPr>
        <w:t>675.62</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90D3193">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A33B0C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本年支出675.62万元，其中：基本支出675.62万元，占100.00%；项目支出0.00万元，占0.00%；上缴上级支出0.00万元，占0.00%；经营支出0.00万元，占0.00%；对附属单位补助支出0.00万元，占0.00%。</w:t>
      </w:r>
    </w:p>
    <w:p w14:paraId="4C120DCC">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BA831D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675.62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675.62</w:t>
      </w:r>
      <w:r>
        <w:rPr>
          <w:rFonts w:hint="eastAsia" w:ascii="仿宋_GB2312" w:eastAsia="仿宋_GB2312"/>
          <w:sz w:val="32"/>
          <w:szCs w:val="32"/>
        </w:rPr>
        <w:t>万元。财政拨款支出总计</w:t>
      </w:r>
      <w:r>
        <w:rPr>
          <w:rFonts w:hint="eastAsia" w:ascii="仿宋_GB2312" w:eastAsia="仿宋_GB2312"/>
          <w:sz w:val="32"/>
          <w:szCs w:val="32"/>
          <w:lang w:val="zh-CN"/>
        </w:rPr>
        <w:t>675.62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675.62</w:t>
      </w:r>
      <w:r>
        <w:rPr>
          <w:rFonts w:hint="eastAsia" w:ascii="仿宋_GB2312" w:eastAsia="仿宋_GB2312"/>
          <w:sz w:val="32"/>
          <w:szCs w:val="32"/>
        </w:rPr>
        <w:t>万元。</w:t>
      </w:r>
    </w:p>
    <w:p w14:paraId="2E8CB9B5">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增加100.28万元</w:t>
      </w:r>
      <w:r>
        <w:rPr>
          <w:rFonts w:hint="eastAsia" w:ascii="仿宋_GB2312" w:eastAsia="仿宋_GB2312"/>
          <w:sz w:val="32"/>
          <w:szCs w:val="32"/>
        </w:rPr>
        <w:t>，增长17.43%,主要原因是：本年增加调研、视察、检查工作</w:t>
      </w:r>
      <w:r>
        <w:rPr>
          <w:rFonts w:hint="eastAsia" w:ascii="仿宋_GB2312" w:eastAsia="仿宋_GB2312"/>
          <w:sz w:val="32"/>
          <w:szCs w:val="32"/>
          <w:lang w:val="en-US" w:eastAsia="zh-CN"/>
        </w:rPr>
        <w:t>项目</w:t>
      </w:r>
      <w:r>
        <w:rPr>
          <w:rFonts w:hint="eastAsia" w:ascii="仿宋_GB2312" w:eastAsia="仿宋_GB2312"/>
          <w:sz w:val="32"/>
          <w:szCs w:val="32"/>
        </w:rPr>
        <w:t>经费。与年初预算相比，年初预算数</w:t>
      </w:r>
      <w:r>
        <w:rPr>
          <w:rFonts w:hint="eastAsia" w:ascii="仿宋_GB2312" w:eastAsia="仿宋_GB2312"/>
          <w:sz w:val="32"/>
          <w:szCs w:val="32"/>
          <w:lang w:val="zh-CN"/>
        </w:rPr>
        <w:t>643.36</w:t>
      </w:r>
      <w:r>
        <w:rPr>
          <w:rFonts w:hint="eastAsia" w:ascii="仿宋_GB2312" w:eastAsia="仿宋_GB2312"/>
          <w:sz w:val="32"/>
          <w:szCs w:val="32"/>
        </w:rPr>
        <w:t>万元，决算数</w:t>
      </w:r>
      <w:r>
        <w:rPr>
          <w:rFonts w:hint="eastAsia" w:ascii="仿宋_GB2312" w:eastAsia="仿宋_GB2312"/>
          <w:sz w:val="32"/>
          <w:szCs w:val="32"/>
          <w:lang w:val="zh-CN"/>
        </w:rPr>
        <w:t>675.62</w:t>
      </w:r>
      <w:r>
        <w:rPr>
          <w:rFonts w:hint="eastAsia" w:ascii="仿宋_GB2312" w:eastAsia="仿宋_GB2312"/>
          <w:sz w:val="32"/>
          <w:szCs w:val="32"/>
        </w:rPr>
        <w:t>万元，预决算差异率5.01%，主要原因是：较预算增加调研、视察、检查等工作</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67BD1C02">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5CE86EF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BF5C55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2023年度一般公共预算财政拨款支出675.62万元，占本年支出合计的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增加100.28万元</w:t>
      </w:r>
      <w:r>
        <w:rPr>
          <w:rFonts w:hint="eastAsia" w:ascii="仿宋_GB2312" w:eastAsia="仿宋_GB2312"/>
          <w:sz w:val="32"/>
          <w:szCs w:val="32"/>
        </w:rPr>
        <w:t>，增长17.43%,主要原因是：本年增加调研，视察，检查工作</w:t>
      </w:r>
      <w:r>
        <w:rPr>
          <w:rFonts w:hint="eastAsia" w:ascii="仿宋_GB2312" w:eastAsia="仿宋_GB2312"/>
          <w:sz w:val="32"/>
          <w:szCs w:val="32"/>
          <w:lang w:val="en-US" w:eastAsia="zh-CN"/>
        </w:rPr>
        <w:t>项目</w:t>
      </w:r>
      <w:r>
        <w:rPr>
          <w:rFonts w:hint="eastAsia" w:ascii="仿宋_GB2312" w:eastAsia="仿宋_GB2312"/>
          <w:sz w:val="32"/>
          <w:szCs w:val="32"/>
        </w:rPr>
        <w:t>经费。与年初预算相比，年初预算数</w:t>
      </w:r>
      <w:r>
        <w:rPr>
          <w:rFonts w:hint="eastAsia" w:ascii="仿宋_GB2312" w:eastAsia="仿宋_GB2312"/>
          <w:sz w:val="32"/>
          <w:szCs w:val="32"/>
          <w:lang w:val="zh-CN"/>
        </w:rPr>
        <w:t>643.36</w:t>
      </w:r>
      <w:r>
        <w:rPr>
          <w:rFonts w:hint="eastAsia" w:ascii="仿宋_GB2312" w:eastAsia="仿宋_GB2312"/>
          <w:sz w:val="32"/>
          <w:szCs w:val="32"/>
        </w:rPr>
        <w:t>万元，决算数</w:t>
      </w:r>
      <w:r>
        <w:rPr>
          <w:rFonts w:hint="eastAsia" w:ascii="仿宋_GB2312" w:eastAsia="仿宋_GB2312"/>
          <w:sz w:val="32"/>
          <w:szCs w:val="32"/>
          <w:lang w:val="zh-CN"/>
        </w:rPr>
        <w:t>675.62</w:t>
      </w:r>
      <w:r>
        <w:rPr>
          <w:rFonts w:hint="eastAsia" w:ascii="仿宋_GB2312" w:eastAsia="仿宋_GB2312"/>
          <w:sz w:val="32"/>
          <w:szCs w:val="32"/>
        </w:rPr>
        <w:t>万元，预决算差异率</w:t>
      </w:r>
      <w:r>
        <w:rPr>
          <w:rFonts w:hint="eastAsia" w:ascii="仿宋_GB2312" w:eastAsia="仿宋_GB2312"/>
          <w:sz w:val="32"/>
          <w:szCs w:val="32"/>
          <w:lang w:val="zh-CN"/>
        </w:rPr>
        <w:t>5.01%</w:t>
      </w:r>
      <w:r>
        <w:rPr>
          <w:rFonts w:hint="eastAsia" w:ascii="仿宋_GB2312" w:eastAsia="仿宋_GB2312"/>
          <w:sz w:val="32"/>
          <w:szCs w:val="32"/>
        </w:rPr>
        <w:t>，主要原因是：较预算增加调研，视察，检查等工作</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7EA0324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2B5DD47">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530.93</w:t>
      </w:r>
      <w:r>
        <w:rPr>
          <w:rFonts w:ascii="仿宋_GB2312" w:eastAsia="仿宋_GB2312"/>
          <w:kern w:val="2"/>
          <w:sz w:val="32"/>
          <w:szCs w:val="32"/>
          <w:lang w:val="zh-CN"/>
        </w:rPr>
        <w:t>万元，占</w:t>
      </w:r>
      <w:r>
        <w:rPr>
          <w:rFonts w:hint="eastAsia" w:ascii="仿宋_GB2312" w:eastAsia="仿宋_GB2312"/>
          <w:kern w:val="2"/>
          <w:sz w:val="32"/>
          <w:szCs w:val="32"/>
          <w:lang w:val="zh-CN"/>
        </w:rPr>
        <w:t>78.58</w:t>
      </w:r>
      <w:r>
        <w:rPr>
          <w:rFonts w:ascii="仿宋_GB2312" w:eastAsia="仿宋_GB2312"/>
          <w:kern w:val="2"/>
          <w:sz w:val="32"/>
          <w:szCs w:val="32"/>
          <w:lang w:val="zh-CN"/>
        </w:rPr>
        <w:t>%；</w:t>
      </w:r>
    </w:p>
    <w:p w14:paraId="3CBFFF8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93.17</w:t>
      </w:r>
      <w:r>
        <w:rPr>
          <w:rFonts w:ascii="仿宋_GB2312" w:eastAsia="仿宋_GB2312"/>
          <w:kern w:val="2"/>
          <w:sz w:val="32"/>
          <w:szCs w:val="32"/>
          <w:lang w:val="zh-CN"/>
        </w:rPr>
        <w:t>万元，占</w:t>
      </w:r>
      <w:r>
        <w:rPr>
          <w:rFonts w:hint="eastAsia" w:ascii="仿宋_GB2312" w:eastAsia="仿宋_GB2312"/>
          <w:kern w:val="2"/>
          <w:sz w:val="32"/>
          <w:szCs w:val="32"/>
          <w:lang w:val="zh-CN"/>
        </w:rPr>
        <w:t>13.79</w:t>
      </w:r>
      <w:r>
        <w:rPr>
          <w:rFonts w:ascii="仿宋_GB2312" w:eastAsia="仿宋_GB2312"/>
          <w:kern w:val="2"/>
          <w:sz w:val="32"/>
          <w:szCs w:val="32"/>
          <w:lang w:val="zh-CN"/>
        </w:rPr>
        <w:t>%；</w:t>
      </w:r>
    </w:p>
    <w:p w14:paraId="106D05B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34.59</w:t>
      </w:r>
      <w:r>
        <w:rPr>
          <w:rFonts w:ascii="仿宋_GB2312" w:eastAsia="仿宋_GB2312"/>
          <w:kern w:val="2"/>
          <w:sz w:val="32"/>
          <w:szCs w:val="32"/>
          <w:lang w:val="zh-CN"/>
        </w:rPr>
        <w:t>万元，占</w:t>
      </w:r>
      <w:r>
        <w:rPr>
          <w:rFonts w:hint="eastAsia" w:ascii="仿宋_GB2312" w:eastAsia="仿宋_GB2312"/>
          <w:kern w:val="2"/>
          <w:sz w:val="32"/>
          <w:szCs w:val="32"/>
          <w:lang w:val="zh-CN"/>
        </w:rPr>
        <w:t>5.12</w:t>
      </w:r>
      <w:r>
        <w:rPr>
          <w:rFonts w:ascii="仿宋_GB2312" w:eastAsia="仿宋_GB2312"/>
          <w:kern w:val="2"/>
          <w:sz w:val="32"/>
          <w:szCs w:val="32"/>
          <w:lang w:val="zh-CN"/>
        </w:rPr>
        <w:t>%；</w:t>
      </w:r>
    </w:p>
    <w:p w14:paraId="51914EA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16.93</w:t>
      </w:r>
      <w:r>
        <w:rPr>
          <w:rFonts w:ascii="仿宋_GB2312" w:eastAsia="仿宋_GB2312"/>
          <w:kern w:val="2"/>
          <w:sz w:val="32"/>
          <w:szCs w:val="32"/>
          <w:lang w:val="zh-CN"/>
        </w:rPr>
        <w:t>万元，占</w:t>
      </w:r>
      <w:r>
        <w:rPr>
          <w:rFonts w:hint="eastAsia" w:ascii="仿宋_GB2312" w:eastAsia="仿宋_GB2312"/>
          <w:kern w:val="2"/>
          <w:sz w:val="32"/>
          <w:szCs w:val="32"/>
          <w:lang w:val="zh-CN"/>
        </w:rPr>
        <w:t>2.51</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A32F03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F361D7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1.一般公共服务支出（类）人大事务（款）代表工作（项）:支出决算数为5.64万元，比上年决算增加5.64万元，增长100%，主要原因是：本年新增科目，</w:t>
      </w:r>
      <w:r>
        <w:rPr>
          <w:rFonts w:hint="eastAsia" w:ascii="仿宋_GB2312" w:eastAsia="仿宋_GB2312"/>
          <w:kern w:val="2"/>
          <w:sz w:val="32"/>
          <w:szCs w:val="32"/>
          <w:lang w:val="en-US" w:eastAsia="zh-CN"/>
        </w:rPr>
        <w:t>工资、津贴补贴、奖金</w:t>
      </w:r>
      <w:r>
        <w:rPr>
          <w:rFonts w:hint="eastAsia" w:ascii="仿宋_GB2312" w:eastAsia="仿宋_GB2312"/>
          <w:kern w:val="2"/>
          <w:sz w:val="32"/>
          <w:szCs w:val="32"/>
          <w:lang w:val="zh-CN"/>
        </w:rPr>
        <w:t>等</w:t>
      </w:r>
      <w:r>
        <w:rPr>
          <w:rFonts w:hint="eastAsia" w:ascii="仿宋_GB2312" w:eastAsia="仿宋_GB2312"/>
          <w:kern w:val="2"/>
          <w:sz w:val="32"/>
          <w:szCs w:val="32"/>
          <w:lang w:val="en-US" w:eastAsia="zh-CN"/>
        </w:rPr>
        <w:t>相关人员经费增加</w:t>
      </w:r>
      <w:r>
        <w:rPr>
          <w:rFonts w:hint="eastAsia" w:ascii="仿宋_GB2312" w:eastAsia="仿宋_GB2312"/>
          <w:kern w:val="2"/>
          <w:sz w:val="32"/>
          <w:szCs w:val="32"/>
          <w:lang w:val="zh-CN"/>
        </w:rPr>
        <w:t>。</w:t>
      </w:r>
    </w:p>
    <w:p w14:paraId="7A15FE0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2.住房保障支出（类）住房改革支出（款）住房公积金（项）:支出决算数为34.59万元，比上年决算增加1.24万元，增长3.72%，主要原因是：</w:t>
      </w:r>
      <w:r>
        <w:rPr>
          <w:rFonts w:hint="eastAsia" w:ascii="仿宋_GB2312" w:eastAsia="仿宋_GB2312"/>
          <w:kern w:val="2"/>
          <w:sz w:val="32"/>
          <w:szCs w:val="32"/>
          <w:lang w:val="en-US" w:eastAsia="zh-CN"/>
        </w:rPr>
        <w:t>单位本年在职人员工资调增</w:t>
      </w:r>
      <w:r>
        <w:rPr>
          <w:rFonts w:hint="eastAsia" w:ascii="仿宋_GB2312" w:eastAsia="仿宋_GB2312"/>
          <w:kern w:val="2"/>
          <w:sz w:val="32"/>
          <w:szCs w:val="32"/>
          <w:lang w:val="zh-CN"/>
        </w:rPr>
        <w:t>，</w:t>
      </w:r>
      <w:r>
        <w:rPr>
          <w:rFonts w:hint="eastAsia" w:ascii="仿宋_GB2312" w:eastAsia="仿宋_GB2312"/>
          <w:kern w:val="2"/>
          <w:sz w:val="32"/>
          <w:szCs w:val="32"/>
          <w:lang w:val="en-US" w:eastAsia="zh-CN"/>
        </w:rPr>
        <w:t>人员公积金</w:t>
      </w:r>
      <w:r>
        <w:rPr>
          <w:rFonts w:hint="eastAsia" w:ascii="仿宋_GB2312" w:eastAsia="仿宋_GB2312"/>
          <w:kern w:val="2"/>
          <w:sz w:val="32"/>
          <w:szCs w:val="32"/>
          <w:lang w:val="zh-CN"/>
        </w:rPr>
        <w:t>缴</w:t>
      </w:r>
      <w:r>
        <w:rPr>
          <w:rFonts w:hint="eastAsia" w:ascii="仿宋_GB2312" w:eastAsia="仿宋_GB2312"/>
          <w:kern w:val="2"/>
          <w:sz w:val="32"/>
          <w:szCs w:val="32"/>
          <w:lang w:val="en-US" w:eastAsia="zh-CN"/>
        </w:rPr>
        <w:t>费</w:t>
      </w:r>
      <w:r>
        <w:rPr>
          <w:rFonts w:hint="eastAsia" w:ascii="仿宋_GB2312" w:eastAsia="仿宋_GB2312"/>
          <w:kern w:val="2"/>
          <w:sz w:val="32"/>
          <w:szCs w:val="32"/>
          <w:lang w:val="zh-CN"/>
        </w:rPr>
        <w:t>增加。</w:t>
      </w:r>
    </w:p>
    <w:p w14:paraId="38BF468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3.社会保障和就业支出（类）抚恤（款）死亡抚恤（项）:支出决算数为10.69万元，比上年决算减少21.27万元，下降66.55%，主要原因是：单位本年人员丧葬费、抚恤金补助较上年减少。</w:t>
      </w:r>
    </w:p>
    <w:p w14:paraId="1D01B02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4.社会保障和就业支出（类）行政事业单位养老支出（款）行政单位离退休（项）:支出决算数为8.16万元，比上年决算增加4.97万元，增长155.80%，主要原因是：单位本年退休人员交通补助、取暖费增加。</w:t>
      </w:r>
    </w:p>
    <w:p w14:paraId="64CF1BA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5.一般公共服务支出（类）人大事务（款）行政运行（项）:支出决算数为494.48万元，比上年决算增加79.69万元，增长19.21%，主要原因是：</w:t>
      </w:r>
      <w:r>
        <w:rPr>
          <w:rFonts w:hint="eastAsia" w:ascii="仿宋_GB2312" w:eastAsia="仿宋_GB2312"/>
          <w:kern w:val="2"/>
          <w:sz w:val="32"/>
          <w:szCs w:val="32"/>
          <w:lang w:val="en-US" w:eastAsia="zh-CN"/>
        </w:rPr>
        <w:t>单位</w:t>
      </w:r>
      <w:r>
        <w:rPr>
          <w:rFonts w:hint="eastAsia" w:ascii="仿宋_GB2312" w:eastAsia="仿宋_GB2312"/>
          <w:kern w:val="2"/>
          <w:sz w:val="32"/>
          <w:szCs w:val="32"/>
          <w:lang w:val="zh-CN"/>
        </w:rPr>
        <w:t>本年</w:t>
      </w:r>
      <w:r>
        <w:rPr>
          <w:rFonts w:hint="eastAsia" w:ascii="仿宋_GB2312" w:eastAsia="仿宋_GB2312"/>
          <w:sz w:val="32"/>
          <w:szCs w:val="32"/>
        </w:rPr>
        <w:t>调研，视察工作</w:t>
      </w:r>
      <w:r>
        <w:rPr>
          <w:rFonts w:hint="eastAsia" w:ascii="仿宋_GB2312" w:eastAsia="仿宋_GB2312"/>
          <w:sz w:val="32"/>
          <w:szCs w:val="32"/>
          <w:lang w:val="en-US" w:eastAsia="zh-CN"/>
        </w:rPr>
        <w:t>项目</w:t>
      </w:r>
      <w:r>
        <w:rPr>
          <w:rFonts w:hint="eastAsia" w:ascii="仿宋_GB2312" w:eastAsia="仿宋_GB2312"/>
          <w:sz w:val="32"/>
          <w:szCs w:val="32"/>
        </w:rPr>
        <w:t>经费增加</w:t>
      </w:r>
      <w:r>
        <w:rPr>
          <w:rFonts w:hint="eastAsia" w:ascii="仿宋_GB2312" w:eastAsia="仿宋_GB2312"/>
          <w:kern w:val="2"/>
          <w:sz w:val="32"/>
          <w:szCs w:val="32"/>
          <w:lang w:val="zh-CN"/>
        </w:rPr>
        <w:t>。</w:t>
      </w:r>
    </w:p>
    <w:p w14:paraId="7865004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6.一般公共服务支出（类）人大事务（款）其他人大事务支出（项）:支出决算数为30.81万元，比上年决算增加28.38万元，增长1,167.90%，主要原因是：2023年</w:t>
      </w:r>
      <w:r>
        <w:rPr>
          <w:rFonts w:hint="eastAsia" w:eastAsia="仿宋_GB2312"/>
          <w:sz w:val="32"/>
          <w:szCs w:val="32"/>
        </w:rPr>
        <w:t>增加基层人大补助</w:t>
      </w:r>
      <w:r>
        <w:rPr>
          <w:rFonts w:hint="eastAsia" w:eastAsia="仿宋_GB2312"/>
          <w:sz w:val="32"/>
          <w:szCs w:val="32"/>
          <w:lang w:val="en-US" w:eastAsia="zh-CN"/>
        </w:rPr>
        <w:t>项目</w:t>
      </w:r>
      <w:r>
        <w:rPr>
          <w:rFonts w:hint="eastAsia" w:eastAsia="仿宋_GB2312"/>
          <w:sz w:val="32"/>
          <w:szCs w:val="32"/>
        </w:rPr>
        <w:t>经费</w:t>
      </w:r>
      <w:r>
        <w:rPr>
          <w:rFonts w:hint="eastAsia" w:ascii="仿宋_GB2312" w:eastAsia="仿宋_GB2312"/>
          <w:kern w:val="2"/>
          <w:sz w:val="32"/>
          <w:szCs w:val="32"/>
          <w:lang w:val="zh-CN"/>
        </w:rPr>
        <w:t>。</w:t>
      </w:r>
    </w:p>
    <w:p w14:paraId="55C8947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7.社会保障和就业支出（类）行政事业单位养老支出（款）机关事业单位职业年金缴费支出（项）:支出决算数为28.39万元，比上年决算增加20.58万元，增长263.51%，主要原因是：本年退休</w:t>
      </w:r>
      <w:r>
        <w:rPr>
          <w:rFonts w:hint="eastAsia" w:ascii="仿宋_GB2312" w:eastAsia="仿宋_GB2312"/>
          <w:kern w:val="2"/>
          <w:sz w:val="32"/>
          <w:szCs w:val="32"/>
          <w:lang w:val="en-US" w:eastAsia="zh-CN"/>
        </w:rPr>
        <w:t>人员增加</w:t>
      </w:r>
      <w:r>
        <w:rPr>
          <w:rFonts w:hint="eastAsia" w:ascii="仿宋_GB2312" w:eastAsia="仿宋_GB2312"/>
          <w:kern w:val="2"/>
          <w:sz w:val="32"/>
          <w:szCs w:val="32"/>
          <w:lang w:val="zh-CN"/>
        </w:rPr>
        <w:t>，人员职业年金</w:t>
      </w:r>
      <w:r>
        <w:rPr>
          <w:rFonts w:hint="eastAsia" w:ascii="仿宋_GB2312" w:eastAsia="仿宋_GB2312"/>
          <w:kern w:val="2"/>
          <w:sz w:val="32"/>
          <w:szCs w:val="32"/>
          <w:lang w:val="en-US" w:eastAsia="zh-CN"/>
        </w:rPr>
        <w:t>缴费增加</w:t>
      </w:r>
      <w:r>
        <w:rPr>
          <w:rFonts w:hint="eastAsia" w:ascii="仿宋_GB2312" w:eastAsia="仿宋_GB2312"/>
          <w:kern w:val="2"/>
          <w:sz w:val="32"/>
          <w:szCs w:val="32"/>
          <w:lang w:val="zh-CN"/>
        </w:rPr>
        <w:t>。</w:t>
      </w:r>
    </w:p>
    <w:p w14:paraId="0AF53A1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8.其他支出（类）其他支出（款）其他支出（项）:支出决算数为16.93万元，比上年决算增加4.21万元，增长33.10%，主要原因是：</w:t>
      </w:r>
      <w:r>
        <w:rPr>
          <w:rFonts w:hint="eastAsia" w:eastAsia="仿宋_GB2312"/>
          <w:sz w:val="32"/>
          <w:szCs w:val="32"/>
        </w:rPr>
        <w:t>本年增加为民办实事工作队项目经费</w:t>
      </w:r>
      <w:r>
        <w:rPr>
          <w:rFonts w:hint="eastAsia" w:ascii="仿宋_GB2312" w:eastAsia="仿宋_GB2312"/>
          <w:kern w:val="2"/>
          <w:sz w:val="32"/>
          <w:szCs w:val="32"/>
          <w:lang w:val="zh-CN"/>
        </w:rPr>
        <w:t>。</w:t>
      </w:r>
    </w:p>
    <w:p w14:paraId="7CC1F3B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9.社会保障和就业支出（类）行政事业单位养老支出（款）机关事业单位基本养老保险缴费支出（项）:支出决算数为45.94万元，比上年决算增加4.47万元，增长10.78%，主要原因是：</w:t>
      </w:r>
      <w:r>
        <w:rPr>
          <w:rFonts w:hint="eastAsia" w:ascii="仿宋_GB2312" w:eastAsia="仿宋_GB2312" w:cs="仿宋_GB2312"/>
          <w:sz w:val="32"/>
          <w:szCs w:val="32"/>
        </w:rPr>
        <w:t>单位本年</w:t>
      </w:r>
      <w:r>
        <w:rPr>
          <w:rFonts w:hint="eastAsia" w:ascii="仿宋_GB2312" w:eastAsia="仿宋_GB2312" w:cs="仿宋_GB2312"/>
          <w:sz w:val="32"/>
          <w:szCs w:val="32"/>
          <w:lang w:val="en-US" w:eastAsia="zh-CN"/>
        </w:rPr>
        <w:t>在职人员工资调增</w:t>
      </w:r>
      <w:r>
        <w:rPr>
          <w:rFonts w:hint="eastAsia" w:ascii="仿宋_GB2312" w:eastAsia="仿宋_GB2312" w:cs="仿宋_GB2312"/>
          <w:sz w:val="32"/>
          <w:szCs w:val="32"/>
        </w:rPr>
        <w:t>，人员养老保险缴费增加</w:t>
      </w:r>
      <w:r>
        <w:rPr>
          <w:rFonts w:hint="eastAsia" w:ascii="仿宋_GB2312" w:eastAsia="仿宋_GB2312"/>
          <w:kern w:val="2"/>
          <w:sz w:val="32"/>
          <w:szCs w:val="32"/>
          <w:lang w:val="zh-CN"/>
        </w:rPr>
        <w:t>。</w:t>
      </w:r>
    </w:p>
    <w:p w14:paraId="37AFCD9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10.一般公共服务支出（类）人大事务（款）人大会议（项）:支出决算数为0.00万元，比上年决算减少27.62万元，下降100%，主要原因是：</w:t>
      </w:r>
      <w:r>
        <w:rPr>
          <w:rFonts w:hint="eastAsia" w:ascii="仿宋_GB2312" w:eastAsia="仿宋_GB2312"/>
          <w:kern w:val="2"/>
          <w:sz w:val="32"/>
          <w:szCs w:val="32"/>
          <w:lang w:val="en-US" w:eastAsia="zh-CN"/>
        </w:rPr>
        <w:t>单位</w:t>
      </w:r>
      <w:r>
        <w:rPr>
          <w:rFonts w:hint="eastAsia" w:ascii="仿宋_GB2312" w:eastAsia="仿宋_GB2312"/>
          <w:kern w:val="2"/>
          <w:sz w:val="32"/>
          <w:szCs w:val="32"/>
          <w:lang w:val="zh-CN"/>
        </w:rPr>
        <w:t>本年人大会议</w:t>
      </w:r>
      <w:r>
        <w:rPr>
          <w:rFonts w:hint="eastAsia" w:ascii="仿宋_GB2312" w:eastAsia="仿宋_GB2312"/>
          <w:kern w:val="2"/>
          <w:sz w:val="32"/>
          <w:szCs w:val="32"/>
          <w:lang w:val="en-US" w:eastAsia="zh-CN"/>
        </w:rPr>
        <w:t>经</w:t>
      </w:r>
      <w:r>
        <w:rPr>
          <w:rFonts w:hint="eastAsia" w:ascii="仿宋_GB2312" w:eastAsia="仿宋_GB2312"/>
          <w:kern w:val="2"/>
          <w:sz w:val="32"/>
          <w:szCs w:val="32"/>
          <w:lang w:val="zh-CN"/>
        </w:rPr>
        <w:t>费较上年减少。</w:t>
      </w:r>
    </w:p>
    <w:p w14:paraId="6E6FA59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C2FD251">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675.62万元，其中：人员经费536.14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620CF71">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公用经费139.48万元，包括：办公费、邮电费、取暖费、差旅费、租赁费、会议费、培训费、工会经费、公务用车运行维护费、其他交通费用、其他商品和服务支出、公务用车购置。</w:t>
      </w:r>
    </w:p>
    <w:p w14:paraId="63C3170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E56BCC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“三公”经费支出23.30万元，</w:t>
      </w:r>
      <w:r>
        <w:rPr>
          <w:rFonts w:hint="eastAsia" w:ascii="仿宋_GB2312" w:eastAsia="仿宋_GB2312"/>
          <w:sz w:val="32"/>
          <w:szCs w:val="32"/>
        </w:rPr>
        <w:t>比上年</w:t>
      </w:r>
      <w:r>
        <w:rPr>
          <w:rFonts w:hint="eastAsia" w:ascii="仿宋_GB2312" w:eastAsia="仿宋_GB2312"/>
          <w:sz w:val="32"/>
          <w:szCs w:val="32"/>
          <w:lang w:val="zh-CN"/>
        </w:rPr>
        <w:t>增加15.41万元，</w:t>
      </w:r>
      <w:r>
        <w:rPr>
          <w:rFonts w:hint="eastAsia" w:ascii="仿宋_GB2312" w:eastAsia="仿宋_GB2312"/>
          <w:sz w:val="32"/>
          <w:szCs w:val="32"/>
        </w:rPr>
        <w:t>增长194.94%,</w:t>
      </w:r>
      <w:r>
        <w:rPr>
          <w:rFonts w:hint="eastAsia" w:ascii="仿宋_GB2312" w:eastAsia="仿宋_GB2312"/>
          <w:sz w:val="32"/>
          <w:szCs w:val="32"/>
          <w:lang w:val="zh-CN"/>
        </w:rPr>
        <w:t>主要原因是：单位本年购买公务用车增加，公务用车购置费用增加。其中：因公出国（境）费支出0.00万元，占0.00%，比上年增加0.00万元，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主要原因是：本年我单位无此经费；公务用车购置及运行维护费支出23.30万元，占100.00%，比上年增加16.10万元，</w:t>
      </w:r>
      <w:r>
        <w:rPr>
          <w:rFonts w:hint="eastAsia" w:ascii="仿宋_GB2312" w:eastAsia="仿宋_GB2312"/>
          <w:sz w:val="32"/>
          <w:szCs w:val="32"/>
        </w:rPr>
        <w:t>增长223.61%,</w:t>
      </w:r>
      <w:r>
        <w:rPr>
          <w:rFonts w:hint="eastAsia" w:ascii="仿宋_GB2312" w:eastAsia="仿宋_GB2312"/>
          <w:sz w:val="32"/>
          <w:szCs w:val="32"/>
          <w:lang w:val="zh-CN"/>
        </w:rPr>
        <w:t>主要原因是：单位本年购买公务用车增加，公务用车购置费用增加；公务接待费支出0.00万元，占0.00%，比上年减少0.69万元，</w:t>
      </w:r>
      <w:r>
        <w:rPr>
          <w:rFonts w:hint="eastAsia" w:ascii="仿宋_GB2312" w:eastAsia="仿宋_GB2312"/>
          <w:sz w:val="32"/>
          <w:szCs w:val="32"/>
        </w:rPr>
        <w:t>下降100.00%,</w:t>
      </w:r>
      <w:r>
        <w:rPr>
          <w:rFonts w:hint="eastAsia" w:ascii="仿宋_GB2312" w:eastAsia="仿宋_GB2312"/>
          <w:sz w:val="32"/>
          <w:szCs w:val="32"/>
          <w:lang w:val="zh-CN"/>
        </w:rPr>
        <w:t>主要原因是：单位本年接待次数、人数减少，接待费用减少。</w:t>
      </w:r>
    </w:p>
    <w:p w14:paraId="7094432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2E21A5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37198BB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23.30万元，其中：公务用车购置费17.37万元，公务用车运行维护费5.93万元。公务用车运行维护费开支内容包括公务用车燃油费、车辆维修维护费、保险费、过路费等。公务用车购置数1辆，公务用车保有量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5辆，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原因是：差异车辆为一般业务用车1辆，车辆费用未使用财政拨款公务用车运行维护费支付。</w:t>
      </w:r>
    </w:p>
    <w:p w14:paraId="6A10EA7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25FF5D3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预算数23.30万元，决算数23.30万元，预决算差异率0.00%，主要原因是：严格按预算执行，预决算对比无差异。其中：因公出国（境）费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预算数17.37万元，决算数17.37万元，预决算差异率0.00%，主要原因是：严格按预算执行，预决算对比无差异；公务用车运行费</w:t>
      </w:r>
      <w:r>
        <w:rPr>
          <w:rFonts w:hint="eastAsia" w:ascii="仿宋_GB2312" w:eastAsia="仿宋_GB2312"/>
          <w:sz w:val="32"/>
          <w:szCs w:val="32"/>
        </w:rPr>
        <w:t>全年</w:t>
      </w:r>
      <w:r>
        <w:rPr>
          <w:rFonts w:hint="eastAsia" w:ascii="仿宋_GB2312" w:eastAsia="仿宋_GB2312"/>
          <w:sz w:val="32"/>
          <w:szCs w:val="32"/>
          <w:lang w:val="zh-CN"/>
        </w:rPr>
        <w:t>预算数5.93万元，决算数5.93万元，预决算差异率0.00%，主要原因是：严格按预算执行，预决算对比无差异；公务接待费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50A841ED">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5C52E0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AA0925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DD4BF21">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EC7A71B">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6C62735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17F0148C">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2023年度木垒哈萨克自治县人大常委会办公室（行政单位和参照公务员法管理事业单位）机关运行经费支出139.48万元，比上年增加67.45万元，增长93.64%,主要原因是：本年增加办公费、公务用车购置费等经费。</w:t>
      </w:r>
    </w:p>
    <w:p w14:paraId="7050F20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C621F6E">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2023年度政府采购支出总额92.54万元，其中：政府采购货物支出33.68万元、政府采购工程支出0.00万元、政府采购服务支出58.86万元。</w:t>
      </w:r>
    </w:p>
    <w:p w14:paraId="0B5CA8FD">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授予中小企业合同金额90.59万元，占政府采购支出总额的97.89</w:t>
      </w:r>
      <w:r>
        <w:rPr>
          <w:rFonts w:ascii="仿宋_GB2312" w:eastAsia="仿宋_GB2312"/>
          <w:sz w:val="32"/>
          <w:szCs w:val="32"/>
        </w:rPr>
        <w:t>%</w:t>
      </w:r>
      <w:r>
        <w:rPr>
          <w:rFonts w:hint="eastAsia" w:ascii="仿宋_GB2312" w:eastAsia="仿宋_GB2312"/>
          <w:sz w:val="32"/>
          <w:szCs w:val="32"/>
        </w:rPr>
        <w:t>，其中：授予小微企业合同金额72.01万元，占政府采购支出总额的77.81</w:t>
      </w:r>
      <w:r>
        <w:rPr>
          <w:rFonts w:ascii="仿宋_GB2312" w:eastAsia="仿宋_GB2312"/>
          <w:sz w:val="32"/>
          <w:szCs w:val="32"/>
        </w:rPr>
        <w:t>%</w:t>
      </w:r>
      <w:r>
        <w:rPr>
          <w:rFonts w:hint="eastAsia" w:ascii="仿宋_GB2312" w:eastAsia="仿宋_GB2312"/>
          <w:sz w:val="32"/>
          <w:szCs w:val="32"/>
        </w:rPr>
        <w:t>。</w:t>
      </w:r>
    </w:p>
    <w:p w14:paraId="7CCBA64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BB71716">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169.45万元，房屋0.00平方米，价值0.00万元。车辆5辆，价值100.27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14:paraId="29FD7572">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7B8F50B4">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675.62</w:t>
      </w:r>
      <w:r>
        <w:rPr>
          <w:rFonts w:hint="eastAsia" w:ascii="仿宋_GB2312" w:eastAsia="仿宋_GB2312"/>
          <w:sz w:val="32"/>
          <w:szCs w:val="32"/>
        </w:rPr>
        <w:t>万元，实际执行总额</w:t>
      </w:r>
      <w:r>
        <w:rPr>
          <w:rFonts w:ascii="仿宋_GB2312" w:eastAsia="仿宋_GB2312"/>
          <w:sz w:val="32"/>
          <w:szCs w:val="32"/>
        </w:rPr>
        <w:t>675.62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17.58</w:t>
      </w:r>
      <w:r>
        <w:rPr>
          <w:rFonts w:hint="eastAsia" w:ascii="仿宋_GB2312" w:eastAsia="仿宋_GB2312"/>
          <w:sz w:val="32"/>
          <w:szCs w:val="32"/>
        </w:rPr>
        <w:t>万元，全年执行数</w:t>
      </w:r>
      <w:r>
        <w:rPr>
          <w:rFonts w:ascii="仿宋_GB2312" w:eastAsia="仿宋_GB2312"/>
          <w:sz w:val="32"/>
          <w:szCs w:val="32"/>
        </w:rPr>
        <w:t>17.58</w:t>
      </w:r>
      <w:r>
        <w:rPr>
          <w:rFonts w:hint="eastAsia" w:ascii="仿宋_GB2312" w:eastAsia="仿宋_GB2312"/>
          <w:sz w:val="32"/>
          <w:szCs w:val="32"/>
        </w:rPr>
        <w:t>万元。预算绩效管理取得的成效：一是领导高度重视。专项资金预算下拨后，主要领导和分管领导高度重视，落实责任分工，确保项目顺利进行；二是管理愈加规范。制定了专项资金管理工作制度，明确了资金付款流程，统一了资金申请手续，做到了层层审核、层层负责、层层把关，付款中全部要求请款单位提供正规发票，没</w:t>
      </w:r>
      <w:r>
        <w:rPr>
          <w:rFonts w:hint="eastAsia" w:ascii="仿宋_GB2312" w:eastAsia="仿宋_GB2312"/>
          <w:sz w:val="32"/>
          <w:szCs w:val="32"/>
          <w:lang w:eastAsia="zh-CN"/>
        </w:rPr>
        <w:t>有</w:t>
      </w:r>
      <w:r>
        <w:rPr>
          <w:rFonts w:hint="eastAsia" w:ascii="仿宋_GB2312" w:eastAsia="仿宋_GB2312"/>
          <w:sz w:val="32"/>
          <w:szCs w:val="32"/>
        </w:rPr>
        <w:t>白条入账现象。发现的问题及原因：一是预算编制工作有待细化。预算编制不够明确和细化，预算编制的合理性需要提高，预算执行力度还要进一步加强；二是公用经费控制有一定难度，基本为刚性支出；三是在推进</w:t>
      </w:r>
      <w:r>
        <w:rPr>
          <w:rFonts w:hint="eastAsia" w:ascii="仿宋_GB2312" w:eastAsia="仿宋_GB2312"/>
          <w:sz w:val="32"/>
          <w:szCs w:val="32"/>
          <w:lang w:eastAsia="zh-CN"/>
        </w:rPr>
        <w:t>人大常委会机关</w:t>
      </w:r>
      <w:r>
        <w:rPr>
          <w:rFonts w:hint="eastAsia" w:ascii="仿宋_GB2312" w:eastAsia="仿宋_GB2312"/>
          <w:sz w:val="32"/>
          <w:szCs w:val="32"/>
        </w:rPr>
        <w:t>建设上力度不够。虽然修改完善了机关13项工作制度，但有时因为工作推动有难度，在执行制度过程中仍存在打折扣现象，导致工作进展缓慢。下一步改进措施：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三是对相关人员加强培训，特别是针对《</w:t>
      </w:r>
      <w:r>
        <w:rPr>
          <w:rFonts w:hint="eastAsia" w:ascii="仿宋_GB2312" w:eastAsia="仿宋_GB2312"/>
          <w:sz w:val="32"/>
          <w:szCs w:val="32"/>
          <w:lang w:eastAsia="zh-CN"/>
        </w:rPr>
        <w:t>中华人民共和国预算法</w:t>
      </w:r>
      <w:r>
        <w:rPr>
          <w:rFonts w:hint="eastAsia" w:ascii="仿宋_GB2312" w:eastAsia="仿宋_GB2312"/>
          <w:sz w:val="32"/>
          <w:szCs w:val="32"/>
        </w:rPr>
        <w:t>》《行政事业单位会计制度》等学习培训，规范部门预算收支核算，切实提高部门预算收支管理水平；四是进一步加强科学规划，严格管理，充分考虑城市功能发展需要，避免重复建设，不断提升城市管理水平。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5"/>
        <w:gridCol w:w="1016"/>
        <w:gridCol w:w="1267"/>
        <w:gridCol w:w="1182"/>
        <w:gridCol w:w="1250"/>
        <w:gridCol w:w="711"/>
        <w:gridCol w:w="817"/>
        <w:gridCol w:w="464"/>
      </w:tblGrid>
      <w:tr w14:paraId="60CC6F3E">
        <w:tblPrEx>
          <w:tblCellMar>
            <w:top w:w="0" w:type="dxa"/>
            <w:left w:w="108" w:type="dxa"/>
            <w:bottom w:w="0" w:type="dxa"/>
            <w:right w:w="108" w:type="dxa"/>
          </w:tblCellMar>
        </w:tblPrEx>
        <w:trPr>
          <w:trHeight w:val="522"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866F4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7ADCFD7D">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DD476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13EC518C">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AF59E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0BD8B6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木垒哈萨克自治县人大常委会办公室</w:t>
            </w:r>
          </w:p>
        </w:tc>
      </w:tr>
      <w:tr w14:paraId="060552DB">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0114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00858F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68" w:type="dxa"/>
            <w:tcBorders>
              <w:top w:val="nil"/>
              <w:left w:val="nil"/>
              <w:bottom w:val="single" w:color="auto" w:sz="4" w:space="0"/>
              <w:right w:val="single" w:color="auto" w:sz="4" w:space="0"/>
            </w:tcBorders>
            <w:shd w:val="clear" w:color="auto" w:fill="auto"/>
            <w:vAlign w:val="center"/>
          </w:tcPr>
          <w:p w14:paraId="1ED71B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183" w:type="dxa"/>
            <w:tcBorders>
              <w:top w:val="nil"/>
              <w:left w:val="nil"/>
              <w:bottom w:val="single" w:color="auto" w:sz="4" w:space="0"/>
              <w:right w:val="single" w:color="auto" w:sz="4" w:space="0"/>
            </w:tcBorders>
            <w:shd w:val="clear" w:color="auto" w:fill="auto"/>
            <w:vAlign w:val="center"/>
          </w:tcPr>
          <w:p w14:paraId="3D3A22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251" w:type="dxa"/>
            <w:tcBorders>
              <w:top w:val="nil"/>
              <w:left w:val="nil"/>
              <w:bottom w:val="single" w:color="auto" w:sz="4" w:space="0"/>
              <w:right w:val="single" w:color="auto" w:sz="4" w:space="0"/>
            </w:tcBorders>
            <w:shd w:val="clear" w:color="auto" w:fill="auto"/>
            <w:vAlign w:val="center"/>
          </w:tcPr>
          <w:p w14:paraId="7A3E10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711" w:type="dxa"/>
            <w:tcBorders>
              <w:top w:val="nil"/>
              <w:left w:val="nil"/>
              <w:bottom w:val="single" w:color="auto" w:sz="4" w:space="0"/>
              <w:right w:val="single" w:color="auto" w:sz="4" w:space="0"/>
            </w:tcBorders>
            <w:shd w:val="clear" w:color="auto" w:fill="auto"/>
            <w:vAlign w:val="center"/>
          </w:tcPr>
          <w:p w14:paraId="3A1448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17" w:type="dxa"/>
            <w:tcBorders>
              <w:top w:val="nil"/>
              <w:left w:val="nil"/>
              <w:bottom w:val="single" w:color="auto" w:sz="4" w:space="0"/>
              <w:right w:val="single" w:color="auto" w:sz="4" w:space="0"/>
            </w:tcBorders>
            <w:shd w:val="clear" w:color="auto" w:fill="auto"/>
            <w:vAlign w:val="center"/>
          </w:tcPr>
          <w:p w14:paraId="372C22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464" w:type="dxa"/>
            <w:tcBorders>
              <w:top w:val="nil"/>
              <w:left w:val="nil"/>
              <w:bottom w:val="single" w:color="auto" w:sz="4" w:space="0"/>
              <w:right w:val="single" w:color="auto" w:sz="4" w:space="0"/>
            </w:tcBorders>
            <w:shd w:val="clear" w:color="auto" w:fill="auto"/>
            <w:vAlign w:val="center"/>
          </w:tcPr>
          <w:p w14:paraId="334556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556803E">
        <w:tblPrEx>
          <w:tblCellMar>
            <w:top w:w="0" w:type="dxa"/>
            <w:left w:w="108" w:type="dxa"/>
            <w:bottom w:w="0" w:type="dxa"/>
            <w:right w:w="108" w:type="dxa"/>
          </w:tblCellMar>
        </w:tblPrEx>
        <w:trPr>
          <w:trHeight w:val="58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5485781">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1351AF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68" w:type="dxa"/>
            <w:tcBorders>
              <w:top w:val="nil"/>
              <w:left w:val="nil"/>
              <w:bottom w:val="single" w:color="auto" w:sz="4" w:space="0"/>
              <w:right w:val="single" w:color="auto" w:sz="4" w:space="0"/>
            </w:tcBorders>
            <w:shd w:val="clear" w:color="auto" w:fill="auto"/>
            <w:vAlign w:val="center"/>
          </w:tcPr>
          <w:p w14:paraId="3FBFFD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183" w:type="dxa"/>
            <w:tcBorders>
              <w:top w:val="nil"/>
              <w:left w:val="nil"/>
              <w:bottom w:val="single" w:color="auto" w:sz="4" w:space="0"/>
              <w:right w:val="single" w:color="auto" w:sz="4" w:space="0"/>
            </w:tcBorders>
            <w:shd w:val="clear" w:color="auto" w:fill="auto"/>
            <w:vAlign w:val="center"/>
          </w:tcPr>
          <w:p w14:paraId="437035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14:paraId="42C884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711" w:type="dxa"/>
            <w:tcBorders>
              <w:top w:val="nil"/>
              <w:left w:val="nil"/>
              <w:bottom w:val="single" w:color="auto" w:sz="4" w:space="0"/>
              <w:right w:val="single" w:color="auto" w:sz="4" w:space="0"/>
            </w:tcBorders>
            <w:shd w:val="clear" w:color="auto" w:fill="auto"/>
            <w:vAlign w:val="center"/>
          </w:tcPr>
          <w:p w14:paraId="219944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14:paraId="0FEFE1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4" w:type="dxa"/>
            <w:tcBorders>
              <w:top w:val="nil"/>
              <w:left w:val="nil"/>
              <w:bottom w:val="single" w:color="auto" w:sz="4" w:space="0"/>
              <w:right w:val="single" w:color="auto" w:sz="4" w:space="0"/>
            </w:tcBorders>
            <w:shd w:val="clear" w:color="auto" w:fill="auto"/>
            <w:vAlign w:val="center"/>
          </w:tcPr>
          <w:p w14:paraId="00ADC4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07EA7EB">
        <w:tblPrEx>
          <w:tblCellMar>
            <w:top w:w="0" w:type="dxa"/>
            <w:left w:w="108" w:type="dxa"/>
            <w:bottom w:w="0" w:type="dxa"/>
            <w:right w:w="108" w:type="dxa"/>
          </w:tblCellMar>
        </w:tblPrEx>
        <w:trPr>
          <w:trHeight w:val="69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8285CC">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45395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68" w:type="dxa"/>
            <w:tcBorders>
              <w:top w:val="nil"/>
              <w:left w:val="nil"/>
              <w:bottom w:val="single" w:color="auto" w:sz="4" w:space="0"/>
              <w:right w:val="single" w:color="auto" w:sz="4" w:space="0"/>
            </w:tcBorders>
            <w:shd w:val="clear" w:color="auto" w:fill="auto"/>
            <w:vAlign w:val="center"/>
          </w:tcPr>
          <w:p w14:paraId="75A3BB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183" w:type="dxa"/>
            <w:tcBorders>
              <w:top w:val="nil"/>
              <w:left w:val="nil"/>
              <w:bottom w:val="single" w:color="auto" w:sz="4" w:space="0"/>
              <w:right w:val="single" w:color="auto" w:sz="4" w:space="0"/>
            </w:tcBorders>
            <w:shd w:val="clear" w:color="auto" w:fill="auto"/>
            <w:vAlign w:val="center"/>
          </w:tcPr>
          <w:p w14:paraId="2562DB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14:paraId="5C99CA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711" w:type="dxa"/>
            <w:tcBorders>
              <w:top w:val="nil"/>
              <w:left w:val="nil"/>
              <w:bottom w:val="single" w:color="auto" w:sz="4" w:space="0"/>
              <w:right w:val="single" w:color="auto" w:sz="4" w:space="0"/>
            </w:tcBorders>
            <w:shd w:val="clear" w:color="auto" w:fill="auto"/>
            <w:vAlign w:val="center"/>
          </w:tcPr>
          <w:p w14:paraId="12FCB3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038E8A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4" w:type="dxa"/>
            <w:tcBorders>
              <w:top w:val="nil"/>
              <w:left w:val="nil"/>
              <w:bottom w:val="single" w:color="auto" w:sz="4" w:space="0"/>
              <w:right w:val="single" w:color="auto" w:sz="4" w:space="0"/>
            </w:tcBorders>
            <w:shd w:val="clear" w:color="auto" w:fill="auto"/>
            <w:vAlign w:val="center"/>
          </w:tcPr>
          <w:p w14:paraId="0E67D5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E331B84">
        <w:tblPrEx>
          <w:tblCellMar>
            <w:top w:w="0" w:type="dxa"/>
            <w:left w:w="108" w:type="dxa"/>
            <w:bottom w:w="0" w:type="dxa"/>
            <w:right w:w="108" w:type="dxa"/>
          </w:tblCellMar>
        </w:tblPrEx>
        <w:trPr>
          <w:trHeight w:val="69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FCC56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D2EC5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68" w:type="dxa"/>
            <w:tcBorders>
              <w:top w:val="nil"/>
              <w:left w:val="nil"/>
              <w:bottom w:val="single" w:color="auto" w:sz="4" w:space="0"/>
              <w:right w:val="single" w:color="auto" w:sz="4" w:space="0"/>
            </w:tcBorders>
            <w:shd w:val="clear" w:color="auto" w:fill="auto"/>
            <w:vAlign w:val="center"/>
          </w:tcPr>
          <w:p w14:paraId="665711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183" w:type="dxa"/>
            <w:tcBorders>
              <w:top w:val="nil"/>
              <w:left w:val="nil"/>
              <w:bottom w:val="single" w:color="auto" w:sz="4" w:space="0"/>
              <w:right w:val="single" w:color="auto" w:sz="4" w:space="0"/>
            </w:tcBorders>
            <w:shd w:val="clear" w:color="auto" w:fill="auto"/>
            <w:vAlign w:val="center"/>
          </w:tcPr>
          <w:p w14:paraId="3553A1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14:paraId="646B2B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711" w:type="dxa"/>
            <w:tcBorders>
              <w:top w:val="nil"/>
              <w:left w:val="nil"/>
              <w:bottom w:val="single" w:color="auto" w:sz="4" w:space="0"/>
              <w:right w:val="single" w:color="auto" w:sz="4" w:space="0"/>
            </w:tcBorders>
            <w:shd w:val="clear" w:color="auto" w:fill="auto"/>
            <w:vAlign w:val="center"/>
          </w:tcPr>
          <w:p w14:paraId="7E6400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5D739C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4" w:type="dxa"/>
            <w:tcBorders>
              <w:top w:val="nil"/>
              <w:left w:val="nil"/>
              <w:bottom w:val="single" w:color="auto" w:sz="4" w:space="0"/>
              <w:right w:val="single" w:color="auto" w:sz="4" w:space="0"/>
            </w:tcBorders>
            <w:shd w:val="clear" w:color="auto" w:fill="auto"/>
            <w:vAlign w:val="center"/>
          </w:tcPr>
          <w:p w14:paraId="37485D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D72E24D">
        <w:trPr>
          <w:trHeight w:val="56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9B38985">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7AF82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68" w:type="dxa"/>
            <w:tcBorders>
              <w:top w:val="nil"/>
              <w:left w:val="nil"/>
              <w:bottom w:val="single" w:color="auto" w:sz="4" w:space="0"/>
              <w:right w:val="single" w:color="auto" w:sz="4" w:space="0"/>
            </w:tcBorders>
            <w:shd w:val="clear" w:color="auto" w:fill="auto"/>
            <w:vAlign w:val="center"/>
          </w:tcPr>
          <w:p w14:paraId="633A5B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643.36</w:t>
            </w:r>
          </w:p>
        </w:tc>
        <w:tc>
          <w:tcPr>
            <w:tcW w:w="1183" w:type="dxa"/>
            <w:tcBorders>
              <w:top w:val="nil"/>
              <w:left w:val="nil"/>
              <w:bottom w:val="single" w:color="auto" w:sz="4" w:space="0"/>
              <w:right w:val="single" w:color="auto" w:sz="4" w:space="0"/>
            </w:tcBorders>
            <w:shd w:val="clear" w:color="auto" w:fill="auto"/>
            <w:vAlign w:val="center"/>
          </w:tcPr>
          <w:p w14:paraId="50C3D4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675.62</w:t>
            </w:r>
          </w:p>
        </w:tc>
        <w:tc>
          <w:tcPr>
            <w:tcW w:w="1251" w:type="dxa"/>
            <w:tcBorders>
              <w:top w:val="nil"/>
              <w:left w:val="nil"/>
              <w:bottom w:val="single" w:color="auto" w:sz="4" w:space="0"/>
              <w:right w:val="single" w:color="auto" w:sz="4" w:space="0"/>
            </w:tcBorders>
            <w:shd w:val="clear" w:color="auto" w:fill="auto"/>
            <w:vAlign w:val="center"/>
          </w:tcPr>
          <w:p w14:paraId="03B701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675.62</w:t>
            </w:r>
          </w:p>
        </w:tc>
        <w:tc>
          <w:tcPr>
            <w:tcW w:w="711" w:type="dxa"/>
            <w:tcBorders>
              <w:top w:val="nil"/>
              <w:left w:val="nil"/>
              <w:bottom w:val="single" w:color="auto" w:sz="4" w:space="0"/>
              <w:right w:val="single" w:color="auto" w:sz="4" w:space="0"/>
            </w:tcBorders>
            <w:shd w:val="clear" w:color="auto" w:fill="auto"/>
            <w:vAlign w:val="center"/>
          </w:tcPr>
          <w:p w14:paraId="1EBD8B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689AF1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4" w:type="dxa"/>
            <w:tcBorders>
              <w:top w:val="nil"/>
              <w:left w:val="nil"/>
              <w:bottom w:val="single" w:color="auto" w:sz="4" w:space="0"/>
              <w:right w:val="single" w:color="auto" w:sz="4" w:space="0"/>
            </w:tcBorders>
            <w:shd w:val="clear" w:color="auto" w:fill="auto"/>
            <w:vAlign w:val="center"/>
          </w:tcPr>
          <w:p w14:paraId="1B40BB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14B088C">
        <w:tblPrEx>
          <w:tblCellMar>
            <w:top w:w="0" w:type="dxa"/>
            <w:left w:w="108" w:type="dxa"/>
            <w:bottom w:w="0" w:type="dxa"/>
            <w:right w:w="108" w:type="dxa"/>
          </w:tblCellMar>
        </w:tblPrEx>
        <w:trPr>
          <w:trHeight w:val="49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B606A7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CE1C7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68" w:type="dxa"/>
            <w:tcBorders>
              <w:top w:val="nil"/>
              <w:left w:val="nil"/>
              <w:bottom w:val="single" w:color="auto" w:sz="4" w:space="0"/>
              <w:right w:val="single" w:color="auto" w:sz="4" w:space="0"/>
            </w:tcBorders>
            <w:shd w:val="clear" w:color="auto" w:fill="auto"/>
            <w:vAlign w:val="center"/>
          </w:tcPr>
          <w:p w14:paraId="1CB32D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183" w:type="dxa"/>
            <w:tcBorders>
              <w:top w:val="nil"/>
              <w:left w:val="nil"/>
              <w:bottom w:val="single" w:color="auto" w:sz="4" w:space="0"/>
              <w:right w:val="single" w:color="auto" w:sz="4" w:space="0"/>
            </w:tcBorders>
            <w:shd w:val="clear" w:color="auto" w:fill="auto"/>
            <w:vAlign w:val="center"/>
          </w:tcPr>
          <w:p w14:paraId="20E15C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14:paraId="00A0A8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711" w:type="dxa"/>
            <w:tcBorders>
              <w:top w:val="nil"/>
              <w:left w:val="nil"/>
              <w:bottom w:val="single" w:color="auto" w:sz="4" w:space="0"/>
              <w:right w:val="single" w:color="auto" w:sz="4" w:space="0"/>
            </w:tcBorders>
            <w:shd w:val="clear" w:color="auto" w:fill="auto"/>
            <w:vAlign w:val="center"/>
          </w:tcPr>
          <w:p w14:paraId="2E65C0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109EA9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4" w:type="dxa"/>
            <w:tcBorders>
              <w:top w:val="nil"/>
              <w:left w:val="nil"/>
              <w:bottom w:val="single" w:color="auto" w:sz="4" w:space="0"/>
              <w:right w:val="single" w:color="auto" w:sz="4" w:space="0"/>
            </w:tcBorders>
            <w:shd w:val="clear" w:color="auto" w:fill="auto"/>
            <w:vAlign w:val="center"/>
          </w:tcPr>
          <w:p w14:paraId="31E174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2FCA156">
        <w:tblPrEx>
          <w:tblCellMar>
            <w:top w:w="0" w:type="dxa"/>
            <w:left w:w="108" w:type="dxa"/>
            <w:bottom w:w="0" w:type="dxa"/>
            <w:right w:w="108" w:type="dxa"/>
          </w:tblCellMar>
        </w:tblPrEx>
        <w:trPr>
          <w:trHeight w:val="54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93AEC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AA5B8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68" w:type="dxa"/>
            <w:tcBorders>
              <w:top w:val="nil"/>
              <w:left w:val="nil"/>
              <w:bottom w:val="single" w:color="auto" w:sz="4" w:space="0"/>
              <w:right w:val="single" w:color="auto" w:sz="4" w:space="0"/>
            </w:tcBorders>
            <w:shd w:val="clear" w:color="auto" w:fill="auto"/>
            <w:vAlign w:val="center"/>
          </w:tcPr>
          <w:p w14:paraId="12AB21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643.36</w:t>
            </w:r>
          </w:p>
        </w:tc>
        <w:tc>
          <w:tcPr>
            <w:tcW w:w="1183" w:type="dxa"/>
            <w:tcBorders>
              <w:top w:val="nil"/>
              <w:left w:val="nil"/>
              <w:bottom w:val="single" w:color="auto" w:sz="4" w:space="0"/>
              <w:right w:val="single" w:color="auto" w:sz="4" w:space="0"/>
            </w:tcBorders>
            <w:shd w:val="clear" w:color="auto" w:fill="auto"/>
            <w:vAlign w:val="center"/>
          </w:tcPr>
          <w:p w14:paraId="4A38A5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675.62</w:t>
            </w:r>
          </w:p>
        </w:tc>
        <w:tc>
          <w:tcPr>
            <w:tcW w:w="1251" w:type="dxa"/>
            <w:tcBorders>
              <w:top w:val="nil"/>
              <w:left w:val="nil"/>
              <w:bottom w:val="single" w:color="auto" w:sz="4" w:space="0"/>
              <w:right w:val="single" w:color="auto" w:sz="4" w:space="0"/>
            </w:tcBorders>
            <w:shd w:val="clear" w:color="auto" w:fill="auto"/>
            <w:vAlign w:val="center"/>
          </w:tcPr>
          <w:p w14:paraId="7A3152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675.62</w:t>
            </w:r>
          </w:p>
        </w:tc>
        <w:tc>
          <w:tcPr>
            <w:tcW w:w="711" w:type="dxa"/>
            <w:tcBorders>
              <w:top w:val="nil"/>
              <w:left w:val="nil"/>
              <w:bottom w:val="single" w:color="auto" w:sz="4" w:space="0"/>
              <w:right w:val="single" w:color="auto" w:sz="4" w:space="0"/>
            </w:tcBorders>
            <w:shd w:val="clear" w:color="auto" w:fill="auto"/>
            <w:vAlign w:val="center"/>
          </w:tcPr>
          <w:p w14:paraId="51459F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770639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4" w:type="dxa"/>
            <w:tcBorders>
              <w:top w:val="nil"/>
              <w:left w:val="nil"/>
              <w:bottom w:val="single" w:color="auto" w:sz="4" w:space="0"/>
              <w:right w:val="single" w:color="auto" w:sz="4" w:space="0"/>
            </w:tcBorders>
            <w:shd w:val="clear" w:color="auto" w:fill="auto"/>
            <w:vAlign w:val="center"/>
          </w:tcPr>
          <w:p w14:paraId="44D0A2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DD84050">
        <w:tblPrEx>
          <w:tblCellMar>
            <w:top w:w="0" w:type="dxa"/>
            <w:left w:w="108" w:type="dxa"/>
            <w:bottom w:w="0" w:type="dxa"/>
            <w:right w:w="108" w:type="dxa"/>
          </w:tblCellMar>
        </w:tblPrEx>
        <w:trPr>
          <w:trHeight w:val="428"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C60A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0" w:type="auto"/>
            <w:gridSpan w:val="3"/>
            <w:tcBorders>
              <w:top w:val="single" w:color="auto" w:sz="4" w:space="0"/>
              <w:left w:val="nil"/>
              <w:bottom w:val="single" w:color="auto" w:sz="4" w:space="0"/>
              <w:right w:val="single" w:color="auto" w:sz="4" w:space="0"/>
            </w:tcBorders>
            <w:shd w:val="clear" w:color="auto" w:fill="auto"/>
            <w:noWrap/>
            <w:vAlign w:val="center"/>
          </w:tcPr>
          <w:p w14:paraId="4887FB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14:paraId="23CF2C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2DBEDB92">
        <w:tblPrEx>
          <w:tblCellMar>
            <w:top w:w="0" w:type="dxa"/>
            <w:left w:w="108" w:type="dxa"/>
            <w:bottom w:w="0" w:type="dxa"/>
            <w:right w:w="108" w:type="dxa"/>
          </w:tblCellMar>
        </w:tblPrEx>
        <w:trPr>
          <w:trHeight w:val="200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C281301">
            <w:pPr>
              <w:widowControl/>
              <w:jc w:val="left"/>
              <w:rPr>
                <w:rFonts w:hint="eastAsia" w:cs="宋体" w:asciiTheme="minorEastAsia" w:hAnsiTheme="minorEastAsia" w:eastAsiaTheme="minorEastAsia"/>
                <w:kern w:val="0"/>
                <w:sz w:val="20"/>
                <w:szCs w:val="20"/>
              </w:rPr>
            </w:pP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14:paraId="386DF4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目标1：健全完善信访受理、转办、督办、落实、答复工作机制，规范信访工作，使人民群众的合理诉求得到积极回应。</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目标2：坚决贯彻落实自治区党委“1+3+3+改革开放”工作部署和州、县党委工作要求，坚持正确监督、有效监督相统一。</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6D4290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至2023年年底，我单位完成如下工作：人大代表培训8次，常委会召开数量6次，组织代表之家活动636次，组织代表调研活动20次。常委会会议质量保证与调研任务工作完成率均达到了100%。正常开展日常工作，保障我单位正常运转。坚持党的领导贯穿于人大工作全过程，把握正确的政治方</w:t>
            </w:r>
            <w:r>
              <w:rPr>
                <w:rFonts w:hint="eastAsia" w:cs="宋体" w:asciiTheme="minorEastAsia" w:hAnsiTheme="minorEastAsia" w:eastAsiaTheme="minorEastAsia"/>
                <w:kern w:val="0"/>
                <w:sz w:val="20"/>
                <w:szCs w:val="20"/>
                <w:lang w:eastAsia="zh-CN"/>
              </w:rPr>
              <w:t>向和</w:t>
            </w:r>
            <w:r>
              <w:rPr>
                <w:rFonts w:hint="eastAsia" w:cs="宋体" w:asciiTheme="minorEastAsia" w:hAnsiTheme="minorEastAsia" w:eastAsiaTheme="minorEastAsia"/>
                <w:kern w:val="0"/>
                <w:sz w:val="20"/>
                <w:szCs w:val="20"/>
              </w:rPr>
              <w:t>目标。</w:t>
            </w:r>
          </w:p>
        </w:tc>
      </w:tr>
      <w:tr w14:paraId="66B41042">
        <w:tblPrEx>
          <w:tblCellMar>
            <w:top w:w="0" w:type="dxa"/>
            <w:left w:w="108" w:type="dxa"/>
            <w:bottom w:w="0" w:type="dxa"/>
            <w:right w:w="108" w:type="dxa"/>
          </w:tblCellMar>
        </w:tblPrEx>
        <w:trPr>
          <w:trHeight w:val="579"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DFA33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528735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68" w:type="dxa"/>
            <w:tcBorders>
              <w:top w:val="nil"/>
              <w:left w:val="nil"/>
              <w:bottom w:val="single" w:color="auto" w:sz="4" w:space="0"/>
              <w:right w:val="single" w:color="auto" w:sz="4" w:space="0"/>
            </w:tcBorders>
            <w:shd w:val="clear" w:color="auto" w:fill="auto"/>
            <w:vAlign w:val="center"/>
          </w:tcPr>
          <w:p w14:paraId="2824EC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183" w:type="dxa"/>
            <w:tcBorders>
              <w:top w:val="nil"/>
              <w:left w:val="nil"/>
              <w:bottom w:val="single" w:color="auto" w:sz="4" w:space="0"/>
              <w:right w:val="single" w:color="auto" w:sz="4" w:space="0"/>
            </w:tcBorders>
            <w:shd w:val="clear" w:color="auto" w:fill="auto"/>
            <w:vAlign w:val="center"/>
          </w:tcPr>
          <w:p w14:paraId="2B9C37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251" w:type="dxa"/>
            <w:tcBorders>
              <w:top w:val="nil"/>
              <w:left w:val="nil"/>
              <w:bottom w:val="single" w:color="auto" w:sz="4" w:space="0"/>
              <w:right w:val="single" w:color="auto" w:sz="4" w:space="0"/>
            </w:tcBorders>
            <w:shd w:val="clear" w:color="auto" w:fill="auto"/>
            <w:vAlign w:val="center"/>
          </w:tcPr>
          <w:p w14:paraId="230466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711" w:type="dxa"/>
            <w:tcBorders>
              <w:top w:val="nil"/>
              <w:left w:val="nil"/>
              <w:bottom w:val="single" w:color="auto" w:sz="4" w:space="0"/>
              <w:right w:val="single" w:color="auto" w:sz="4" w:space="0"/>
            </w:tcBorders>
            <w:shd w:val="clear" w:color="auto" w:fill="auto"/>
            <w:vAlign w:val="center"/>
          </w:tcPr>
          <w:p w14:paraId="7AD222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17" w:type="dxa"/>
            <w:tcBorders>
              <w:top w:val="nil"/>
              <w:left w:val="nil"/>
              <w:bottom w:val="single" w:color="auto" w:sz="4" w:space="0"/>
              <w:right w:val="single" w:color="auto" w:sz="4" w:space="0"/>
            </w:tcBorders>
            <w:shd w:val="clear" w:color="auto" w:fill="auto"/>
            <w:vAlign w:val="center"/>
          </w:tcPr>
          <w:p w14:paraId="6A8BE0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464" w:type="dxa"/>
            <w:tcBorders>
              <w:top w:val="nil"/>
              <w:left w:val="nil"/>
              <w:bottom w:val="single" w:color="auto" w:sz="4" w:space="0"/>
              <w:right w:val="single" w:color="auto" w:sz="4" w:space="0"/>
            </w:tcBorders>
            <w:shd w:val="clear" w:color="auto" w:fill="auto"/>
            <w:vAlign w:val="center"/>
          </w:tcPr>
          <w:p w14:paraId="132753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373FAAE">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C4E2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8252D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68" w:type="dxa"/>
            <w:tcBorders>
              <w:top w:val="nil"/>
              <w:left w:val="nil"/>
              <w:bottom w:val="single" w:color="auto" w:sz="4" w:space="0"/>
              <w:right w:val="single" w:color="auto" w:sz="4" w:space="0"/>
            </w:tcBorders>
            <w:shd w:val="clear" w:color="auto" w:fill="auto"/>
            <w:vAlign w:val="center"/>
          </w:tcPr>
          <w:p w14:paraId="754932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人大代表培训数量</w:t>
            </w:r>
          </w:p>
        </w:tc>
        <w:tc>
          <w:tcPr>
            <w:tcW w:w="1183" w:type="dxa"/>
            <w:tcBorders>
              <w:top w:val="nil"/>
              <w:left w:val="nil"/>
              <w:bottom w:val="single" w:color="auto" w:sz="4" w:space="0"/>
              <w:right w:val="single" w:color="auto" w:sz="4" w:space="0"/>
            </w:tcBorders>
            <w:shd w:val="clear" w:color="auto" w:fill="auto"/>
            <w:vAlign w:val="center"/>
          </w:tcPr>
          <w:p w14:paraId="141F84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&gt;=8次</w:t>
            </w:r>
          </w:p>
        </w:tc>
        <w:tc>
          <w:tcPr>
            <w:tcW w:w="1251" w:type="dxa"/>
            <w:tcBorders>
              <w:top w:val="nil"/>
              <w:left w:val="nil"/>
              <w:bottom w:val="single" w:color="auto" w:sz="4" w:space="0"/>
              <w:right w:val="single" w:color="auto" w:sz="4" w:space="0"/>
            </w:tcBorders>
            <w:shd w:val="clear" w:color="auto" w:fill="auto"/>
            <w:vAlign w:val="center"/>
          </w:tcPr>
          <w:p w14:paraId="1827BF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vAlign w:val="center"/>
          </w:tcPr>
          <w:p w14:paraId="47D87E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14:paraId="577FCA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8次</w:t>
            </w:r>
          </w:p>
        </w:tc>
        <w:tc>
          <w:tcPr>
            <w:tcW w:w="464" w:type="dxa"/>
            <w:tcBorders>
              <w:top w:val="nil"/>
              <w:left w:val="nil"/>
              <w:bottom w:val="single" w:color="auto" w:sz="4" w:space="0"/>
              <w:right w:val="single" w:color="auto" w:sz="4" w:space="0"/>
            </w:tcBorders>
            <w:shd w:val="clear" w:color="auto" w:fill="auto"/>
            <w:vAlign w:val="center"/>
          </w:tcPr>
          <w:p w14:paraId="5C819D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8BAF103">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364CD10">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D1BAF5D">
            <w:pPr>
              <w:widowControl/>
              <w:jc w:val="left"/>
              <w:rPr>
                <w:rFonts w:hint="eastAsia" w:cs="宋体" w:asciiTheme="minorEastAsia" w:hAnsiTheme="minorEastAsia" w:eastAsiaTheme="minorEastAsia"/>
                <w:kern w:val="0"/>
                <w:sz w:val="20"/>
                <w:szCs w:val="20"/>
              </w:rPr>
            </w:pPr>
          </w:p>
        </w:tc>
        <w:tc>
          <w:tcPr>
            <w:tcW w:w="1268" w:type="dxa"/>
            <w:tcBorders>
              <w:top w:val="nil"/>
              <w:left w:val="nil"/>
              <w:bottom w:val="single" w:color="auto" w:sz="4" w:space="0"/>
              <w:right w:val="single" w:color="auto" w:sz="4" w:space="0"/>
            </w:tcBorders>
            <w:shd w:val="clear" w:color="auto" w:fill="auto"/>
            <w:vAlign w:val="center"/>
          </w:tcPr>
          <w:p w14:paraId="7A2340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常委会召开数量</w:t>
            </w:r>
          </w:p>
        </w:tc>
        <w:tc>
          <w:tcPr>
            <w:tcW w:w="1183" w:type="dxa"/>
            <w:tcBorders>
              <w:top w:val="nil"/>
              <w:left w:val="nil"/>
              <w:bottom w:val="single" w:color="auto" w:sz="4" w:space="0"/>
              <w:right w:val="single" w:color="auto" w:sz="4" w:space="0"/>
            </w:tcBorders>
            <w:shd w:val="clear" w:color="auto" w:fill="auto"/>
            <w:vAlign w:val="center"/>
          </w:tcPr>
          <w:p w14:paraId="356988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&gt;=6次</w:t>
            </w:r>
          </w:p>
        </w:tc>
        <w:tc>
          <w:tcPr>
            <w:tcW w:w="1251" w:type="dxa"/>
            <w:tcBorders>
              <w:top w:val="nil"/>
              <w:left w:val="nil"/>
              <w:bottom w:val="single" w:color="auto" w:sz="4" w:space="0"/>
              <w:right w:val="single" w:color="auto" w:sz="4" w:space="0"/>
            </w:tcBorders>
            <w:shd w:val="clear" w:color="auto" w:fill="auto"/>
            <w:vAlign w:val="center"/>
          </w:tcPr>
          <w:p w14:paraId="2CA875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vAlign w:val="center"/>
          </w:tcPr>
          <w:p w14:paraId="55BBCE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14:paraId="20E08D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6次</w:t>
            </w:r>
          </w:p>
        </w:tc>
        <w:tc>
          <w:tcPr>
            <w:tcW w:w="464" w:type="dxa"/>
            <w:tcBorders>
              <w:top w:val="nil"/>
              <w:left w:val="nil"/>
              <w:bottom w:val="single" w:color="auto" w:sz="4" w:space="0"/>
              <w:right w:val="single" w:color="auto" w:sz="4" w:space="0"/>
            </w:tcBorders>
            <w:shd w:val="clear" w:color="auto" w:fill="auto"/>
            <w:vAlign w:val="center"/>
          </w:tcPr>
          <w:p w14:paraId="6191FD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4D9DB5E">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6BCC16D">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42555B6C">
            <w:pPr>
              <w:widowControl/>
              <w:jc w:val="left"/>
              <w:rPr>
                <w:rFonts w:hint="eastAsia" w:cs="宋体" w:asciiTheme="minorEastAsia" w:hAnsiTheme="minorEastAsia" w:eastAsiaTheme="minorEastAsia"/>
                <w:kern w:val="0"/>
                <w:sz w:val="20"/>
                <w:szCs w:val="20"/>
              </w:rPr>
            </w:pPr>
          </w:p>
        </w:tc>
        <w:tc>
          <w:tcPr>
            <w:tcW w:w="1268" w:type="dxa"/>
            <w:tcBorders>
              <w:top w:val="nil"/>
              <w:left w:val="nil"/>
              <w:bottom w:val="single" w:color="auto" w:sz="4" w:space="0"/>
              <w:right w:val="single" w:color="auto" w:sz="4" w:space="0"/>
            </w:tcBorders>
            <w:shd w:val="clear" w:color="auto" w:fill="auto"/>
            <w:vAlign w:val="center"/>
          </w:tcPr>
          <w:p w14:paraId="5FA11C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组织代表调研活动</w:t>
            </w:r>
          </w:p>
        </w:tc>
        <w:tc>
          <w:tcPr>
            <w:tcW w:w="1183" w:type="dxa"/>
            <w:tcBorders>
              <w:top w:val="nil"/>
              <w:left w:val="nil"/>
              <w:bottom w:val="single" w:color="auto" w:sz="4" w:space="0"/>
              <w:right w:val="single" w:color="auto" w:sz="4" w:space="0"/>
            </w:tcBorders>
            <w:shd w:val="clear" w:color="auto" w:fill="auto"/>
            <w:vAlign w:val="center"/>
          </w:tcPr>
          <w:p w14:paraId="42D1DA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&gt;=20次</w:t>
            </w:r>
          </w:p>
        </w:tc>
        <w:tc>
          <w:tcPr>
            <w:tcW w:w="1251" w:type="dxa"/>
            <w:tcBorders>
              <w:top w:val="nil"/>
              <w:left w:val="nil"/>
              <w:bottom w:val="single" w:color="auto" w:sz="4" w:space="0"/>
              <w:right w:val="single" w:color="auto" w:sz="4" w:space="0"/>
            </w:tcBorders>
            <w:shd w:val="clear" w:color="auto" w:fill="auto"/>
            <w:vAlign w:val="center"/>
          </w:tcPr>
          <w:p w14:paraId="07C44C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vAlign w:val="center"/>
          </w:tcPr>
          <w:p w14:paraId="10AD58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14:paraId="651B1559">
            <w:pPr>
              <w:widowControl/>
              <w:jc w:val="center"/>
              <w:rPr>
                <w:rFonts w:hint="eastAsia" w:cs="宋体" w:asciiTheme="minorEastAsia" w:hAnsiTheme="minorEastAsia" w:eastAsiaTheme="minorEastAsia"/>
                <w:kern w:val="0"/>
                <w:sz w:val="20"/>
                <w:szCs w:val="20"/>
              </w:rPr>
            </w:pPr>
            <w:bookmarkStart w:id="49" w:name="_GoBack"/>
            <w:r>
              <w:rPr>
                <w:rFonts w:hint="eastAsia" w:cs="宋体" w:asciiTheme="minorEastAsia" w:hAnsiTheme="minorEastAsia" w:eastAsiaTheme="minorEastAsia"/>
                <w:kern w:val="0"/>
                <w:sz w:val="20"/>
                <w:szCs w:val="20"/>
              </w:rPr>
              <w:t>20</w:t>
            </w:r>
            <w:bookmarkEnd w:id="49"/>
            <w:r>
              <w:rPr>
                <w:rFonts w:hint="eastAsia" w:cs="宋体" w:asciiTheme="minorEastAsia" w:hAnsiTheme="minorEastAsia" w:eastAsiaTheme="minorEastAsia"/>
                <w:kern w:val="0"/>
                <w:sz w:val="20"/>
                <w:szCs w:val="20"/>
              </w:rPr>
              <w:t>次</w:t>
            </w:r>
          </w:p>
        </w:tc>
        <w:tc>
          <w:tcPr>
            <w:tcW w:w="464" w:type="dxa"/>
            <w:tcBorders>
              <w:top w:val="nil"/>
              <w:left w:val="nil"/>
              <w:bottom w:val="single" w:color="auto" w:sz="4" w:space="0"/>
              <w:right w:val="single" w:color="auto" w:sz="4" w:space="0"/>
            </w:tcBorders>
            <w:shd w:val="clear" w:color="auto" w:fill="auto"/>
            <w:vAlign w:val="center"/>
          </w:tcPr>
          <w:p w14:paraId="5B0EE0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BB6362E">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4C18B5B">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00BCC3E">
            <w:pPr>
              <w:widowControl/>
              <w:jc w:val="left"/>
              <w:rPr>
                <w:rFonts w:hint="eastAsia" w:cs="宋体" w:asciiTheme="minorEastAsia" w:hAnsiTheme="minorEastAsia" w:eastAsiaTheme="minorEastAsia"/>
                <w:kern w:val="0"/>
                <w:sz w:val="20"/>
                <w:szCs w:val="20"/>
              </w:rPr>
            </w:pPr>
          </w:p>
        </w:tc>
        <w:tc>
          <w:tcPr>
            <w:tcW w:w="1268" w:type="dxa"/>
            <w:tcBorders>
              <w:top w:val="nil"/>
              <w:left w:val="nil"/>
              <w:bottom w:val="single" w:color="auto" w:sz="4" w:space="0"/>
              <w:right w:val="single" w:color="auto" w:sz="4" w:space="0"/>
            </w:tcBorders>
            <w:shd w:val="clear" w:color="auto" w:fill="auto"/>
            <w:vAlign w:val="center"/>
          </w:tcPr>
          <w:p w14:paraId="3FA74A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组织代表之家活动数量</w:t>
            </w:r>
          </w:p>
        </w:tc>
        <w:tc>
          <w:tcPr>
            <w:tcW w:w="1183" w:type="dxa"/>
            <w:tcBorders>
              <w:top w:val="nil"/>
              <w:left w:val="nil"/>
              <w:bottom w:val="single" w:color="auto" w:sz="4" w:space="0"/>
              <w:right w:val="single" w:color="auto" w:sz="4" w:space="0"/>
            </w:tcBorders>
            <w:shd w:val="clear" w:color="auto" w:fill="auto"/>
            <w:vAlign w:val="center"/>
          </w:tcPr>
          <w:p w14:paraId="0FE110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≥636次</w:t>
            </w:r>
          </w:p>
        </w:tc>
        <w:tc>
          <w:tcPr>
            <w:tcW w:w="1251" w:type="dxa"/>
            <w:tcBorders>
              <w:top w:val="nil"/>
              <w:left w:val="nil"/>
              <w:bottom w:val="single" w:color="auto" w:sz="4" w:space="0"/>
              <w:right w:val="single" w:color="auto" w:sz="4" w:space="0"/>
            </w:tcBorders>
            <w:shd w:val="clear" w:color="auto" w:fill="auto"/>
            <w:vAlign w:val="center"/>
          </w:tcPr>
          <w:p w14:paraId="482F96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vAlign w:val="center"/>
          </w:tcPr>
          <w:p w14:paraId="649F70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817" w:type="dxa"/>
            <w:tcBorders>
              <w:top w:val="nil"/>
              <w:left w:val="nil"/>
              <w:bottom w:val="single" w:color="auto" w:sz="4" w:space="0"/>
              <w:right w:val="single" w:color="auto" w:sz="4" w:space="0"/>
            </w:tcBorders>
            <w:shd w:val="clear" w:color="auto" w:fill="auto"/>
            <w:vAlign w:val="center"/>
          </w:tcPr>
          <w:p w14:paraId="53B6D8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636次</w:t>
            </w:r>
          </w:p>
        </w:tc>
        <w:tc>
          <w:tcPr>
            <w:tcW w:w="464" w:type="dxa"/>
            <w:tcBorders>
              <w:top w:val="nil"/>
              <w:left w:val="nil"/>
              <w:bottom w:val="single" w:color="auto" w:sz="4" w:space="0"/>
              <w:right w:val="single" w:color="auto" w:sz="4" w:space="0"/>
            </w:tcBorders>
            <w:shd w:val="clear" w:color="auto" w:fill="auto"/>
            <w:vAlign w:val="center"/>
          </w:tcPr>
          <w:p w14:paraId="289A1F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03FAF745">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4958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0DAE5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68" w:type="dxa"/>
            <w:tcBorders>
              <w:top w:val="nil"/>
              <w:left w:val="nil"/>
              <w:bottom w:val="single" w:color="auto" w:sz="4" w:space="0"/>
              <w:right w:val="single" w:color="auto" w:sz="4" w:space="0"/>
            </w:tcBorders>
            <w:shd w:val="clear" w:color="auto" w:fill="auto"/>
            <w:vAlign w:val="center"/>
          </w:tcPr>
          <w:p w14:paraId="38A7CE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常委会会议质量保障率</w:t>
            </w:r>
          </w:p>
        </w:tc>
        <w:tc>
          <w:tcPr>
            <w:tcW w:w="1183" w:type="dxa"/>
            <w:tcBorders>
              <w:top w:val="nil"/>
              <w:left w:val="nil"/>
              <w:bottom w:val="single" w:color="auto" w:sz="4" w:space="0"/>
              <w:right w:val="single" w:color="auto" w:sz="4" w:space="0"/>
            </w:tcBorders>
            <w:shd w:val="clear" w:color="auto" w:fill="auto"/>
            <w:vAlign w:val="center"/>
          </w:tcPr>
          <w:p w14:paraId="18A0E7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51" w:type="dxa"/>
            <w:tcBorders>
              <w:top w:val="nil"/>
              <w:left w:val="nil"/>
              <w:bottom w:val="single" w:color="auto" w:sz="4" w:space="0"/>
              <w:right w:val="single" w:color="auto" w:sz="4" w:space="0"/>
            </w:tcBorders>
            <w:shd w:val="clear" w:color="auto" w:fill="auto"/>
            <w:vAlign w:val="center"/>
          </w:tcPr>
          <w:p w14:paraId="6FE9D9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vAlign w:val="center"/>
          </w:tcPr>
          <w:p w14:paraId="794E98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14:paraId="57399A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4" w:type="dxa"/>
            <w:tcBorders>
              <w:top w:val="nil"/>
              <w:left w:val="nil"/>
              <w:bottom w:val="single" w:color="auto" w:sz="4" w:space="0"/>
              <w:right w:val="single" w:color="auto" w:sz="4" w:space="0"/>
            </w:tcBorders>
            <w:shd w:val="clear" w:color="auto" w:fill="auto"/>
            <w:vAlign w:val="center"/>
          </w:tcPr>
          <w:p w14:paraId="57DAE7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9BE163C">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DECBF19">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E6C024B">
            <w:pPr>
              <w:widowControl/>
              <w:jc w:val="center"/>
              <w:rPr>
                <w:rFonts w:hint="eastAsia" w:cs="宋体" w:asciiTheme="minorEastAsia" w:hAnsiTheme="minorEastAsia" w:eastAsiaTheme="minorEastAsia"/>
                <w:kern w:val="0"/>
                <w:sz w:val="20"/>
                <w:szCs w:val="20"/>
              </w:rPr>
            </w:pPr>
          </w:p>
        </w:tc>
        <w:tc>
          <w:tcPr>
            <w:tcW w:w="1268" w:type="dxa"/>
            <w:tcBorders>
              <w:top w:val="nil"/>
              <w:left w:val="nil"/>
              <w:bottom w:val="single" w:color="auto" w:sz="4" w:space="0"/>
              <w:right w:val="single" w:color="auto" w:sz="4" w:space="0"/>
            </w:tcBorders>
            <w:shd w:val="clear" w:color="auto" w:fill="auto"/>
            <w:noWrap/>
            <w:vAlign w:val="center"/>
          </w:tcPr>
          <w:p w14:paraId="60A0B3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调研任务工作完成率</w:t>
            </w:r>
          </w:p>
        </w:tc>
        <w:tc>
          <w:tcPr>
            <w:tcW w:w="1183" w:type="dxa"/>
            <w:tcBorders>
              <w:top w:val="nil"/>
              <w:left w:val="nil"/>
              <w:bottom w:val="single" w:color="auto" w:sz="4" w:space="0"/>
              <w:right w:val="single" w:color="auto" w:sz="4" w:space="0"/>
            </w:tcBorders>
            <w:shd w:val="clear" w:color="auto" w:fill="auto"/>
            <w:noWrap/>
            <w:vAlign w:val="center"/>
          </w:tcPr>
          <w:p w14:paraId="100FBD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51" w:type="dxa"/>
            <w:tcBorders>
              <w:top w:val="nil"/>
              <w:left w:val="nil"/>
              <w:bottom w:val="single" w:color="auto" w:sz="4" w:space="0"/>
              <w:right w:val="single" w:color="auto" w:sz="4" w:space="0"/>
            </w:tcBorders>
            <w:shd w:val="clear" w:color="auto" w:fill="auto"/>
            <w:noWrap/>
            <w:vAlign w:val="center"/>
          </w:tcPr>
          <w:p w14:paraId="46F428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noWrap/>
            <w:vAlign w:val="center"/>
          </w:tcPr>
          <w:p w14:paraId="1FC070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17" w:type="dxa"/>
            <w:tcBorders>
              <w:top w:val="nil"/>
              <w:left w:val="nil"/>
              <w:bottom w:val="single" w:color="auto" w:sz="4" w:space="0"/>
              <w:right w:val="single" w:color="auto" w:sz="4" w:space="0"/>
            </w:tcBorders>
            <w:shd w:val="clear" w:color="auto" w:fill="auto"/>
            <w:noWrap/>
            <w:vAlign w:val="center"/>
          </w:tcPr>
          <w:p w14:paraId="34B1B5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4" w:type="dxa"/>
            <w:tcBorders>
              <w:top w:val="nil"/>
              <w:left w:val="nil"/>
              <w:bottom w:val="single" w:color="auto" w:sz="4" w:space="0"/>
              <w:right w:val="single" w:color="auto" w:sz="4" w:space="0"/>
            </w:tcBorders>
            <w:shd w:val="clear" w:color="auto" w:fill="auto"/>
            <w:noWrap/>
            <w:vAlign w:val="center"/>
          </w:tcPr>
          <w:p w14:paraId="208E2F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61B604DF">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67A0A9">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14:paraId="0E8B5B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268" w:type="dxa"/>
            <w:tcBorders>
              <w:top w:val="nil"/>
              <w:left w:val="nil"/>
              <w:bottom w:val="single" w:color="auto" w:sz="4" w:space="0"/>
              <w:right w:val="single" w:color="auto" w:sz="4" w:space="0"/>
            </w:tcBorders>
            <w:shd w:val="clear" w:color="auto" w:fill="auto"/>
            <w:noWrap/>
            <w:vAlign w:val="center"/>
          </w:tcPr>
          <w:p w14:paraId="133B30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会议通知及时率</w:t>
            </w:r>
          </w:p>
        </w:tc>
        <w:tc>
          <w:tcPr>
            <w:tcW w:w="1183" w:type="dxa"/>
            <w:tcBorders>
              <w:top w:val="nil"/>
              <w:left w:val="nil"/>
              <w:bottom w:val="single" w:color="auto" w:sz="4" w:space="0"/>
              <w:right w:val="single" w:color="auto" w:sz="4" w:space="0"/>
            </w:tcBorders>
            <w:shd w:val="clear" w:color="auto" w:fill="auto"/>
            <w:noWrap/>
            <w:vAlign w:val="center"/>
          </w:tcPr>
          <w:p w14:paraId="60B340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51" w:type="dxa"/>
            <w:tcBorders>
              <w:top w:val="nil"/>
              <w:left w:val="nil"/>
              <w:bottom w:val="single" w:color="auto" w:sz="4" w:space="0"/>
              <w:right w:val="single" w:color="auto" w:sz="4" w:space="0"/>
            </w:tcBorders>
            <w:shd w:val="clear" w:color="auto" w:fill="auto"/>
            <w:noWrap/>
            <w:vAlign w:val="center"/>
          </w:tcPr>
          <w:p w14:paraId="57BB83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noWrap/>
            <w:vAlign w:val="center"/>
          </w:tcPr>
          <w:p w14:paraId="4FBFAA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noWrap/>
            <w:vAlign w:val="center"/>
          </w:tcPr>
          <w:p w14:paraId="06EBA7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4" w:type="dxa"/>
            <w:tcBorders>
              <w:top w:val="nil"/>
              <w:left w:val="nil"/>
              <w:bottom w:val="single" w:color="auto" w:sz="4" w:space="0"/>
              <w:right w:val="single" w:color="auto" w:sz="4" w:space="0"/>
            </w:tcBorders>
            <w:shd w:val="clear" w:color="auto" w:fill="auto"/>
            <w:noWrap/>
            <w:vAlign w:val="center"/>
          </w:tcPr>
          <w:p w14:paraId="199770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41FCFA1">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E5B927">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DFCD459">
            <w:pPr>
              <w:widowControl/>
              <w:jc w:val="center"/>
              <w:rPr>
                <w:rFonts w:hint="eastAsia" w:cs="宋体" w:asciiTheme="minorEastAsia" w:hAnsiTheme="minorEastAsia" w:eastAsiaTheme="minorEastAsia"/>
                <w:kern w:val="0"/>
                <w:sz w:val="20"/>
                <w:szCs w:val="20"/>
              </w:rPr>
            </w:pPr>
          </w:p>
        </w:tc>
        <w:tc>
          <w:tcPr>
            <w:tcW w:w="1268" w:type="dxa"/>
            <w:tcBorders>
              <w:top w:val="nil"/>
              <w:left w:val="nil"/>
              <w:bottom w:val="single" w:color="auto" w:sz="4" w:space="0"/>
              <w:right w:val="single" w:color="auto" w:sz="4" w:space="0"/>
            </w:tcBorders>
            <w:shd w:val="clear" w:color="auto" w:fill="auto"/>
            <w:noWrap/>
            <w:vAlign w:val="center"/>
          </w:tcPr>
          <w:p w14:paraId="176B49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人大代表议案</w:t>
            </w:r>
            <w:r>
              <w:rPr>
                <w:rFonts w:hint="eastAsia" w:cs="宋体" w:asciiTheme="minorEastAsia" w:hAnsiTheme="minorEastAsia" w:eastAsiaTheme="minorEastAsia"/>
                <w:kern w:val="0"/>
                <w:sz w:val="20"/>
                <w:szCs w:val="20"/>
              </w:rPr>
              <w:t>办复完成时限</w:t>
            </w:r>
          </w:p>
        </w:tc>
        <w:tc>
          <w:tcPr>
            <w:tcW w:w="1183" w:type="dxa"/>
            <w:tcBorders>
              <w:top w:val="nil"/>
              <w:left w:val="nil"/>
              <w:bottom w:val="single" w:color="auto" w:sz="4" w:space="0"/>
              <w:right w:val="single" w:color="auto" w:sz="4" w:space="0"/>
            </w:tcBorders>
            <w:shd w:val="clear" w:color="auto" w:fill="auto"/>
            <w:noWrap/>
            <w:vAlign w:val="center"/>
          </w:tcPr>
          <w:p w14:paraId="09F368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≤6个月</w:t>
            </w:r>
          </w:p>
        </w:tc>
        <w:tc>
          <w:tcPr>
            <w:tcW w:w="1251" w:type="dxa"/>
            <w:tcBorders>
              <w:top w:val="nil"/>
              <w:left w:val="nil"/>
              <w:bottom w:val="single" w:color="auto" w:sz="4" w:space="0"/>
              <w:right w:val="single" w:color="auto" w:sz="4" w:space="0"/>
            </w:tcBorders>
            <w:shd w:val="clear" w:color="auto" w:fill="auto"/>
            <w:noWrap/>
            <w:vAlign w:val="center"/>
          </w:tcPr>
          <w:p w14:paraId="5A062C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noWrap/>
            <w:vAlign w:val="center"/>
          </w:tcPr>
          <w:p w14:paraId="39D3A4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17" w:type="dxa"/>
            <w:tcBorders>
              <w:top w:val="nil"/>
              <w:left w:val="nil"/>
              <w:bottom w:val="single" w:color="auto" w:sz="4" w:space="0"/>
              <w:right w:val="single" w:color="auto" w:sz="4" w:space="0"/>
            </w:tcBorders>
            <w:shd w:val="clear" w:color="auto" w:fill="auto"/>
            <w:noWrap/>
            <w:vAlign w:val="center"/>
          </w:tcPr>
          <w:p w14:paraId="075486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6个月</w:t>
            </w:r>
          </w:p>
        </w:tc>
        <w:tc>
          <w:tcPr>
            <w:tcW w:w="464" w:type="dxa"/>
            <w:tcBorders>
              <w:top w:val="nil"/>
              <w:left w:val="nil"/>
              <w:bottom w:val="single" w:color="auto" w:sz="4" w:space="0"/>
              <w:right w:val="single" w:color="auto" w:sz="4" w:space="0"/>
            </w:tcBorders>
            <w:shd w:val="clear" w:color="auto" w:fill="auto"/>
            <w:noWrap/>
            <w:vAlign w:val="center"/>
          </w:tcPr>
          <w:p w14:paraId="50B328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359662F7">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36CF9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14:paraId="16A01B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68" w:type="dxa"/>
            <w:tcBorders>
              <w:top w:val="nil"/>
              <w:left w:val="nil"/>
              <w:bottom w:val="single" w:color="auto" w:sz="4" w:space="0"/>
              <w:right w:val="single" w:color="auto" w:sz="4" w:space="0"/>
            </w:tcBorders>
            <w:shd w:val="clear" w:color="auto" w:fill="auto"/>
            <w:noWrap/>
            <w:vAlign w:val="center"/>
          </w:tcPr>
          <w:p w14:paraId="174043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群众政策知晓率</w:t>
            </w:r>
          </w:p>
        </w:tc>
        <w:tc>
          <w:tcPr>
            <w:tcW w:w="1183" w:type="dxa"/>
            <w:tcBorders>
              <w:top w:val="nil"/>
              <w:left w:val="nil"/>
              <w:bottom w:val="single" w:color="auto" w:sz="4" w:space="0"/>
              <w:right w:val="single" w:color="auto" w:sz="4" w:space="0"/>
            </w:tcBorders>
            <w:shd w:val="clear" w:color="auto" w:fill="auto"/>
            <w:noWrap/>
            <w:vAlign w:val="center"/>
          </w:tcPr>
          <w:p w14:paraId="177AB1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251" w:type="dxa"/>
            <w:tcBorders>
              <w:top w:val="nil"/>
              <w:left w:val="nil"/>
              <w:bottom w:val="single" w:color="auto" w:sz="4" w:space="0"/>
              <w:right w:val="single" w:color="auto" w:sz="4" w:space="0"/>
            </w:tcBorders>
            <w:shd w:val="clear" w:color="auto" w:fill="auto"/>
            <w:noWrap/>
            <w:vAlign w:val="center"/>
          </w:tcPr>
          <w:p w14:paraId="58E993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noWrap/>
            <w:vAlign w:val="center"/>
          </w:tcPr>
          <w:p w14:paraId="13CAB4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17" w:type="dxa"/>
            <w:tcBorders>
              <w:top w:val="nil"/>
              <w:left w:val="nil"/>
              <w:bottom w:val="single" w:color="auto" w:sz="4" w:space="0"/>
              <w:right w:val="single" w:color="auto" w:sz="4" w:space="0"/>
            </w:tcBorders>
            <w:shd w:val="clear" w:color="auto" w:fill="auto"/>
            <w:noWrap/>
            <w:vAlign w:val="center"/>
          </w:tcPr>
          <w:p w14:paraId="628A49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464" w:type="dxa"/>
            <w:tcBorders>
              <w:top w:val="nil"/>
              <w:left w:val="nil"/>
              <w:bottom w:val="single" w:color="auto" w:sz="4" w:space="0"/>
              <w:right w:val="single" w:color="auto" w:sz="4" w:space="0"/>
            </w:tcBorders>
            <w:shd w:val="clear" w:color="auto" w:fill="auto"/>
            <w:noWrap/>
            <w:vAlign w:val="center"/>
          </w:tcPr>
          <w:p w14:paraId="6E43AE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57380EE0">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58FCC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vMerge w:val="continue"/>
            <w:tcBorders>
              <w:top w:val="nil"/>
              <w:left w:val="single" w:color="auto" w:sz="4" w:space="0"/>
              <w:bottom w:val="single" w:color="auto" w:sz="4" w:space="0"/>
              <w:right w:val="single" w:color="auto" w:sz="4" w:space="0"/>
            </w:tcBorders>
            <w:vAlign w:val="center"/>
          </w:tcPr>
          <w:p w14:paraId="08B0AEC4">
            <w:pPr>
              <w:widowControl/>
              <w:jc w:val="center"/>
              <w:rPr>
                <w:rFonts w:hint="eastAsia" w:cs="宋体" w:asciiTheme="minorEastAsia" w:hAnsiTheme="minorEastAsia" w:eastAsiaTheme="minorEastAsia"/>
                <w:kern w:val="0"/>
                <w:sz w:val="20"/>
                <w:szCs w:val="20"/>
              </w:rPr>
            </w:pPr>
          </w:p>
        </w:tc>
        <w:tc>
          <w:tcPr>
            <w:tcW w:w="1268" w:type="dxa"/>
            <w:tcBorders>
              <w:top w:val="nil"/>
              <w:left w:val="nil"/>
              <w:bottom w:val="single" w:color="auto" w:sz="4" w:space="0"/>
              <w:right w:val="single" w:color="auto" w:sz="4" w:space="0"/>
            </w:tcBorders>
            <w:shd w:val="clear" w:color="auto" w:fill="auto"/>
            <w:noWrap/>
            <w:vAlign w:val="center"/>
          </w:tcPr>
          <w:p w14:paraId="7D2D43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人大代表满意度</w:t>
            </w:r>
          </w:p>
        </w:tc>
        <w:tc>
          <w:tcPr>
            <w:tcW w:w="1183" w:type="dxa"/>
            <w:tcBorders>
              <w:top w:val="nil"/>
              <w:left w:val="nil"/>
              <w:bottom w:val="single" w:color="auto" w:sz="4" w:space="0"/>
              <w:right w:val="single" w:color="auto" w:sz="4" w:space="0"/>
            </w:tcBorders>
            <w:shd w:val="clear" w:color="auto" w:fill="auto"/>
            <w:noWrap/>
            <w:vAlign w:val="center"/>
          </w:tcPr>
          <w:p w14:paraId="4C94F5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51" w:type="dxa"/>
            <w:tcBorders>
              <w:top w:val="nil"/>
              <w:left w:val="nil"/>
              <w:bottom w:val="single" w:color="auto" w:sz="4" w:space="0"/>
              <w:right w:val="single" w:color="auto" w:sz="4" w:space="0"/>
            </w:tcBorders>
            <w:shd w:val="clear" w:color="auto" w:fill="auto"/>
            <w:noWrap/>
            <w:vAlign w:val="center"/>
          </w:tcPr>
          <w:p w14:paraId="098904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noWrap/>
            <w:vAlign w:val="center"/>
          </w:tcPr>
          <w:p w14:paraId="687CBA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noWrap/>
            <w:vAlign w:val="center"/>
          </w:tcPr>
          <w:p w14:paraId="13FC10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464" w:type="dxa"/>
            <w:tcBorders>
              <w:top w:val="nil"/>
              <w:left w:val="nil"/>
              <w:bottom w:val="single" w:color="auto" w:sz="4" w:space="0"/>
              <w:right w:val="single" w:color="auto" w:sz="4" w:space="0"/>
            </w:tcBorders>
            <w:shd w:val="clear" w:color="auto" w:fill="auto"/>
            <w:noWrap/>
            <w:vAlign w:val="center"/>
          </w:tcPr>
          <w:p w14:paraId="480DDF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7D1BDF5D">
      <w:pPr>
        <w:ind w:firstLine="640" w:firstLineChars="200"/>
        <w:jc w:val="left"/>
        <w:rPr>
          <w:rFonts w:ascii="仿宋_GB2312" w:eastAsia="仿宋_GB2312"/>
          <w:sz w:val="32"/>
          <w:szCs w:val="32"/>
        </w:rPr>
      </w:pPr>
    </w:p>
    <w:tbl>
      <w:tblPr>
        <w:tblStyle w:val="9"/>
        <w:tblW w:w="0" w:type="auto"/>
        <w:tblInd w:w="0" w:type="dxa"/>
        <w:tblLayout w:type="autofit"/>
        <w:tblCellMar>
          <w:top w:w="0" w:type="dxa"/>
          <w:left w:w="108" w:type="dxa"/>
          <w:bottom w:w="0" w:type="dxa"/>
          <w:right w:w="108" w:type="dxa"/>
        </w:tblCellMar>
      </w:tblPr>
      <w:tblGrid>
        <w:gridCol w:w="627"/>
        <w:gridCol w:w="587"/>
        <w:gridCol w:w="1514"/>
        <w:gridCol w:w="1134"/>
        <w:gridCol w:w="1485"/>
        <w:gridCol w:w="920"/>
        <w:gridCol w:w="528"/>
        <w:gridCol w:w="916"/>
        <w:gridCol w:w="811"/>
      </w:tblGrid>
      <w:tr w14:paraId="346D8E54">
        <w:tblPrEx>
          <w:tblCellMar>
            <w:top w:w="0" w:type="dxa"/>
            <w:left w:w="108" w:type="dxa"/>
            <w:bottom w:w="0" w:type="dxa"/>
            <w:right w:w="108" w:type="dxa"/>
          </w:tblCellMar>
        </w:tblPrEx>
        <w:trPr>
          <w:trHeight w:val="408" w:hRule="atLeast"/>
        </w:trPr>
        <w:tc>
          <w:tcPr>
            <w:tcW w:w="8522" w:type="dxa"/>
            <w:gridSpan w:val="9"/>
            <w:tcBorders>
              <w:top w:val="nil"/>
              <w:left w:val="nil"/>
              <w:bottom w:val="nil"/>
              <w:right w:val="nil"/>
            </w:tcBorders>
            <w:shd w:val="clear" w:color="auto" w:fill="auto"/>
            <w:vAlign w:val="center"/>
          </w:tcPr>
          <w:p w14:paraId="73EBB43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5D8B97E">
        <w:tblPrEx>
          <w:tblCellMar>
            <w:top w:w="0" w:type="dxa"/>
            <w:left w:w="108" w:type="dxa"/>
            <w:bottom w:w="0" w:type="dxa"/>
            <w:right w:w="108" w:type="dxa"/>
          </w:tblCellMar>
        </w:tblPrEx>
        <w:trPr>
          <w:trHeight w:val="288" w:hRule="atLeast"/>
        </w:trPr>
        <w:tc>
          <w:tcPr>
            <w:tcW w:w="8522" w:type="dxa"/>
            <w:gridSpan w:val="9"/>
            <w:tcBorders>
              <w:top w:val="nil"/>
              <w:left w:val="nil"/>
              <w:bottom w:val="nil"/>
              <w:right w:val="nil"/>
            </w:tcBorders>
            <w:shd w:val="clear" w:color="auto" w:fill="auto"/>
            <w:vAlign w:val="center"/>
          </w:tcPr>
          <w:p w14:paraId="69F9F92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2023年度</w:t>
            </w:r>
            <w:r>
              <w:rPr>
                <w:rFonts w:hint="eastAsia" w:ascii="宋体" w:hAnsi="宋体" w:cs="宋体"/>
                <w:color w:val="000000"/>
                <w:kern w:val="0"/>
                <w:sz w:val="20"/>
                <w:szCs w:val="20"/>
                <w:lang w:eastAsia="zh-CN"/>
              </w:rPr>
              <w:t>）</w:t>
            </w:r>
          </w:p>
        </w:tc>
      </w:tr>
      <w:tr w14:paraId="304E0B0D">
        <w:tblPrEx>
          <w:tblCellMar>
            <w:top w:w="0" w:type="dxa"/>
            <w:left w:w="108" w:type="dxa"/>
            <w:bottom w:w="0" w:type="dxa"/>
            <w:right w:w="108" w:type="dxa"/>
          </w:tblCellMar>
        </w:tblPrEx>
        <w:trPr>
          <w:trHeight w:val="288" w:hRule="atLeast"/>
        </w:trPr>
        <w:tc>
          <w:tcPr>
            <w:tcW w:w="12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50E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08" w:type="dxa"/>
            <w:gridSpan w:val="7"/>
            <w:tcBorders>
              <w:top w:val="single" w:color="auto" w:sz="4" w:space="0"/>
              <w:left w:val="nil"/>
              <w:bottom w:val="single" w:color="auto" w:sz="4" w:space="0"/>
              <w:right w:val="single" w:color="000000" w:sz="4" w:space="0"/>
            </w:tcBorders>
            <w:shd w:val="clear" w:color="auto" w:fill="auto"/>
            <w:vAlign w:val="center"/>
          </w:tcPr>
          <w:p w14:paraId="79904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人大常委会办公室购置公务用车经费</w:t>
            </w:r>
          </w:p>
        </w:tc>
      </w:tr>
      <w:tr w14:paraId="0DA6BACF">
        <w:tblPrEx>
          <w:tblCellMar>
            <w:top w:w="0" w:type="dxa"/>
            <w:left w:w="108" w:type="dxa"/>
            <w:bottom w:w="0" w:type="dxa"/>
            <w:right w:w="108" w:type="dxa"/>
          </w:tblCellMar>
        </w:tblPrEx>
        <w:trPr>
          <w:trHeight w:val="288" w:hRule="atLeast"/>
        </w:trPr>
        <w:tc>
          <w:tcPr>
            <w:tcW w:w="12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0AA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3" w:type="dxa"/>
            <w:gridSpan w:val="3"/>
            <w:tcBorders>
              <w:top w:val="single" w:color="auto" w:sz="4" w:space="0"/>
              <w:left w:val="nil"/>
              <w:bottom w:val="single" w:color="auto" w:sz="4" w:space="0"/>
              <w:right w:val="single" w:color="auto" w:sz="4" w:space="0"/>
            </w:tcBorders>
            <w:shd w:val="clear" w:color="auto" w:fill="auto"/>
            <w:vAlign w:val="center"/>
          </w:tcPr>
          <w:p w14:paraId="5D6D5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木垒哈萨克自治县人大常委会办公室</w:t>
            </w:r>
          </w:p>
        </w:tc>
        <w:tc>
          <w:tcPr>
            <w:tcW w:w="920" w:type="dxa"/>
            <w:tcBorders>
              <w:top w:val="single" w:color="auto" w:sz="4" w:space="0"/>
              <w:left w:val="nil"/>
              <w:bottom w:val="single" w:color="auto" w:sz="4" w:space="0"/>
              <w:right w:val="single" w:color="auto" w:sz="4" w:space="0"/>
            </w:tcBorders>
            <w:shd w:val="clear" w:color="auto" w:fill="auto"/>
            <w:vAlign w:val="center"/>
          </w:tcPr>
          <w:p w14:paraId="47684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55" w:type="dxa"/>
            <w:gridSpan w:val="3"/>
            <w:tcBorders>
              <w:top w:val="single" w:color="auto" w:sz="4" w:space="0"/>
              <w:left w:val="nil"/>
              <w:bottom w:val="single" w:color="auto" w:sz="4" w:space="0"/>
              <w:right w:val="single" w:color="auto" w:sz="4" w:space="0"/>
            </w:tcBorders>
            <w:shd w:val="clear" w:color="auto" w:fill="auto"/>
            <w:vAlign w:val="center"/>
          </w:tcPr>
          <w:p w14:paraId="07B6D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木垒哈萨克自治县人大常委会办公室</w:t>
            </w:r>
          </w:p>
        </w:tc>
      </w:tr>
      <w:tr w14:paraId="51EF9080">
        <w:tblPrEx>
          <w:tblCellMar>
            <w:top w:w="0" w:type="dxa"/>
            <w:left w:w="108" w:type="dxa"/>
            <w:bottom w:w="0" w:type="dxa"/>
            <w:right w:w="108" w:type="dxa"/>
          </w:tblCellMar>
        </w:tblPrEx>
        <w:trPr>
          <w:trHeight w:val="480" w:hRule="atLeast"/>
        </w:trPr>
        <w:tc>
          <w:tcPr>
            <w:tcW w:w="12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595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14" w:type="dxa"/>
            <w:tcBorders>
              <w:top w:val="single" w:color="auto" w:sz="4" w:space="0"/>
              <w:left w:val="nil"/>
              <w:bottom w:val="single" w:color="auto" w:sz="4" w:space="0"/>
              <w:right w:val="single" w:color="auto" w:sz="4" w:space="0"/>
            </w:tcBorders>
            <w:shd w:val="clear" w:color="auto" w:fill="auto"/>
            <w:vAlign w:val="center"/>
          </w:tcPr>
          <w:p w14:paraId="0EB7A7D2">
            <w:pPr>
              <w:widowControl/>
              <w:jc w:val="center"/>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36ADE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5" w:type="dxa"/>
            <w:tcBorders>
              <w:top w:val="single" w:color="auto" w:sz="4" w:space="0"/>
              <w:left w:val="nil"/>
              <w:bottom w:val="single" w:color="auto" w:sz="4" w:space="0"/>
              <w:right w:val="single" w:color="auto" w:sz="4" w:space="0"/>
            </w:tcBorders>
            <w:shd w:val="clear" w:color="auto" w:fill="auto"/>
            <w:vAlign w:val="center"/>
          </w:tcPr>
          <w:p w14:paraId="48C9A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0" w:type="dxa"/>
            <w:tcBorders>
              <w:top w:val="single" w:color="auto" w:sz="4" w:space="0"/>
              <w:left w:val="nil"/>
              <w:bottom w:val="single" w:color="auto" w:sz="4" w:space="0"/>
              <w:right w:val="single" w:color="auto" w:sz="4" w:space="0"/>
            </w:tcBorders>
            <w:shd w:val="clear" w:color="auto" w:fill="auto"/>
            <w:vAlign w:val="center"/>
          </w:tcPr>
          <w:p w14:paraId="7C669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tcBorders>
              <w:top w:val="single" w:color="auto" w:sz="4" w:space="0"/>
              <w:left w:val="nil"/>
              <w:bottom w:val="single" w:color="auto" w:sz="4" w:space="0"/>
              <w:right w:val="single" w:color="auto" w:sz="4" w:space="0"/>
            </w:tcBorders>
            <w:shd w:val="clear" w:color="auto" w:fill="auto"/>
            <w:vAlign w:val="center"/>
          </w:tcPr>
          <w:p w14:paraId="05BF0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tcBorders>
              <w:top w:val="single" w:color="auto" w:sz="4" w:space="0"/>
              <w:left w:val="nil"/>
              <w:bottom w:val="single" w:color="auto" w:sz="4" w:space="0"/>
              <w:right w:val="single" w:color="auto" w:sz="4" w:space="0"/>
            </w:tcBorders>
            <w:shd w:val="clear" w:color="auto" w:fill="auto"/>
            <w:vAlign w:val="center"/>
          </w:tcPr>
          <w:p w14:paraId="0D944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tcBorders>
              <w:top w:val="nil"/>
              <w:left w:val="nil"/>
              <w:bottom w:val="single" w:color="auto" w:sz="4" w:space="0"/>
              <w:right w:val="single" w:color="auto" w:sz="4" w:space="0"/>
            </w:tcBorders>
            <w:shd w:val="clear" w:color="auto" w:fill="auto"/>
            <w:vAlign w:val="center"/>
          </w:tcPr>
          <w:p w14:paraId="0B839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9028B1B">
        <w:tblPrEx>
          <w:tblCellMar>
            <w:top w:w="0" w:type="dxa"/>
            <w:left w:w="108" w:type="dxa"/>
            <w:bottom w:w="0" w:type="dxa"/>
            <w:right w:w="108" w:type="dxa"/>
          </w:tblCellMar>
        </w:tblPrEx>
        <w:trPr>
          <w:trHeight w:val="438" w:hRule="atLeast"/>
        </w:trPr>
        <w:tc>
          <w:tcPr>
            <w:tcW w:w="1214" w:type="dxa"/>
            <w:gridSpan w:val="2"/>
            <w:vMerge w:val="continue"/>
            <w:tcBorders>
              <w:top w:val="single" w:color="auto" w:sz="4" w:space="0"/>
              <w:left w:val="single" w:color="auto" w:sz="4" w:space="0"/>
              <w:bottom w:val="single" w:color="auto" w:sz="4" w:space="0"/>
              <w:right w:val="single" w:color="auto" w:sz="4" w:space="0"/>
            </w:tcBorders>
            <w:vAlign w:val="center"/>
          </w:tcPr>
          <w:p w14:paraId="6E876227">
            <w:pPr>
              <w:widowControl/>
              <w:jc w:val="left"/>
              <w:rPr>
                <w:rFonts w:hint="eastAsia" w:ascii="宋体" w:hAnsi="宋体" w:cs="宋体"/>
                <w:color w:val="000000"/>
                <w:kern w:val="0"/>
                <w:sz w:val="20"/>
                <w:szCs w:val="20"/>
              </w:rPr>
            </w:pPr>
          </w:p>
        </w:tc>
        <w:tc>
          <w:tcPr>
            <w:tcW w:w="1514" w:type="dxa"/>
            <w:tcBorders>
              <w:top w:val="single" w:color="auto" w:sz="4" w:space="0"/>
              <w:left w:val="nil"/>
              <w:bottom w:val="single" w:color="auto" w:sz="4" w:space="0"/>
              <w:right w:val="single" w:color="auto" w:sz="4" w:space="0"/>
            </w:tcBorders>
            <w:shd w:val="clear" w:color="auto" w:fill="auto"/>
            <w:vAlign w:val="center"/>
          </w:tcPr>
          <w:p w14:paraId="5ACD6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tcBorders>
              <w:top w:val="nil"/>
              <w:left w:val="nil"/>
              <w:bottom w:val="single" w:color="auto" w:sz="4" w:space="0"/>
              <w:right w:val="single" w:color="auto" w:sz="4" w:space="0"/>
            </w:tcBorders>
            <w:shd w:val="clear" w:color="auto" w:fill="auto"/>
            <w:vAlign w:val="center"/>
          </w:tcPr>
          <w:p w14:paraId="14425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17.58</w:t>
            </w:r>
          </w:p>
        </w:tc>
        <w:tc>
          <w:tcPr>
            <w:tcW w:w="1485" w:type="dxa"/>
            <w:tcBorders>
              <w:top w:val="single" w:color="auto" w:sz="4" w:space="0"/>
              <w:left w:val="nil"/>
              <w:bottom w:val="single" w:color="auto" w:sz="4" w:space="0"/>
              <w:right w:val="single" w:color="auto" w:sz="4" w:space="0"/>
            </w:tcBorders>
            <w:shd w:val="clear" w:color="auto" w:fill="auto"/>
            <w:vAlign w:val="center"/>
          </w:tcPr>
          <w:p w14:paraId="4F9AD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17.58</w:t>
            </w:r>
          </w:p>
        </w:tc>
        <w:tc>
          <w:tcPr>
            <w:tcW w:w="920" w:type="dxa"/>
            <w:tcBorders>
              <w:top w:val="single" w:color="auto" w:sz="4" w:space="0"/>
              <w:left w:val="nil"/>
              <w:bottom w:val="single" w:color="auto" w:sz="4" w:space="0"/>
              <w:right w:val="single" w:color="auto" w:sz="4" w:space="0"/>
            </w:tcBorders>
            <w:shd w:val="clear" w:color="auto" w:fill="auto"/>
            <w:vAlign w:val="center"/>
          </w:tcPr>
          <w:p w14:paraId="02530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17.58</w:t>
            </w:r>
          </w:p>
        </w:tc>
        <w:tc>
          <w:tcPr>
            <w:tcW w:w="0" w:type="auto"/>
            <w:tcBorders>
              <w:top w:val="single" w:color="auto" w:sz="4" w:space="0"/>
              <w:left w:val="nil"/>
              <w:bottom w:val="single" w:color="auto" w:sz="4" w:space="0"/>
              <w:right w:val="single" w:color="auto" w:sz="4" w:space="0"/>
            </w:tcBorders>
            <w:shd w:val="clear" w:color="auto" w:fill="auto"/>
            <w:vAlign w:val="center"/>
          </w:tcPr>
          <w:p w14:paraId="474B2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auto" w:sz="4" w:space="0"/>
            </w:tcBorders>
            <w:shd w:val="clear" w:color="auto" w:fill="auto"/>
            <w:vAlign w:val="center"/>
          </w:tcPr>
          <w:p w14:paraId="2A438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tcBorders>
              <w:top w:val="nil"/>
              <w:left w:val="nil"/>
              <w:bottom w:val="single" w:color="auto" w:sz="4" w:space="0"/>
              <w:right w:val="single" w:color="auto" w:sz="4" w:space="0"/>
            </w:tcBorders>
            <w:shd w:val="clear" w:color="auto" w:fill="auto"/>
            <w:vAlign w:val="center"/>
          </w:tcPr>
          <w:p w14:paraId="7B391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ECCCAC0">
        <w:tblPrEx>
          <w:tblCellMar>
            <w:top w:w="0" w:type="dxa"/>
            <w:left w:w="108" w:type="dxa"/>
            <w:bottom w:w="0" w:type="dxa"/>
            <w:right w:w="108" w:type="dxa"/>
          </w:tblCellMar>
        </w:tblPrEx>
        <w:trPr>
          <w:trHeight w:val="438" w:hRule="atLeast"/>
        </w:trPr>
        <w:tc>
          <w:tcPr>
            <w:tcW w:w="1214" w:type="dxa"/>
            <w:gridSpan w:val="2"/>
            <w:vMerge w:val="continue"/>
            <w:tcBorders>
              <w:top w:val="single" w:color="auto" w:sz="4" w:space="0"/>
              <w:left w:val="single" w:color="auto" w:sz="4" w:space="0"/>
              <w:bottom w:val="single" w:color="auto" w:sz="4" w:space="0"/>
              <w:right w:val="single" w:color="auto" w:sz="4" w:space="0"/>
            </w:tcBorders>
            <w:vAlign w:val="center"/>
          </w:tcPr>
          <w:p w14:paraId="519F6AF1">
            <w:pPr>
              <w:widowControl/>
              <w:jc w:val="left"/>
              <w:rPr>
                <w:rFonts w:hint="eastAsia" w:ascii="宋体" w:hAnsi="宋体" w:cs="宋体"/>
                <w:color w:val="000000"/>
                <w:kern w:val="0"/>
                <w:sz w:val="20"/>
                <w:szCs w:val="20"/>
              </w:rPr>
            </w:pPr>
          </w:p>
        </w:tc>
        <w:tc>
          <w:tcPr>
            <w:tcW w:w="1514" w:type="dxa"/>
            <w:tcBorders>
              <w:top w:val="single" w:color="auto" w:sz="4" w:space="0"/>
              <w:left w:val="nil"/>
              <w:bottom w:val="single" w:color="auto" w:sz="4" w:space="0"/>
              <w:right w:val="single" w:color="auto" w:sz="4" w:space="0"/>
            </w:tcBorders>
            <w:shd w:val="clear" w:color="auto" w:fill="auto"/>
            <w:vAlign w:val="center"/>
          </w:tcPr>
          <w:p w14:paraId="6BD67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tcBorders>
              <w:top w:val="nil"/>
              <w:left w:val="nil"/>
              <w:bottom w:val="single" w:color="auto" w:sz="4" w:space="0"/>
              <w:right w:val="single" w:color="auto" w:sz="4" w:space="0"/>
            </w:tcBorders>
            <w:shd w:val="clear" w:color="auto" w:fill="auto"/>
            <w:vAlign w:val="center"/>
          </w:tcPr>
          <w:p w14:paraId="1E3DE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17.58</w:t>
            </w:r>
          </w:p>
        </w:tc>
        <w:tc>
          <w:tcPr>
            <w:tcW w:w="1485" w:type="dxa"/>
            <w:tcBorders>
              <w:top w:val="single" w:color="auto" w:sz="4" w:space="0"/>
              <w:left w:val="nil"/>
              <w:bottom w:val="single" w:color="auto" w:sz="4" w:space="0"/>
              <w:right w:val="single" w:color="auto" w:sz="4" w:space="0"/>
            </w:tcBorders>
            <w:shd w:val="clear" w:color="auto" w:fill="auto"/>
            <w:vAlign w:val="center"/>
          </w:tcPr>
          <w:p w14:paraId="46C833F3">
            <w:pPr>
              <w:widowControl/>
              <w:jc w:val="center"/>
              <w:rPr>
                <w:rFonts w:hint="eastAsia" w:ascii="宋体" w:hAnsi="宋体" w:cs="宋体"/>
                <w:color w:val="000000"/>
                <w:kern w:val="0"/>
                <w:sz w:val="20"/>
                <w:szCs w:val="20"/>
              </w:rPr>
            </w:pPr>
            <w:bookmarkStart w:id="30" w:name="_Hlk174718933"/>
            <w:r>
              <w:rPr>
                <w:rFonts w:hint="eastAsia" w:ascii="宋体" w:hAnsi="宋体" w:cs="宋体"/>
                <w:color w:val="000000"/>
                <w:kern w:val="0"/>
                <w:sz w:val="20"/>
                <w:szCs w:val="20"/>
              </w:rPr>
              <w:t>17.58</w:t>
            </w:r>
            <w:bookmarkEnd w:id="30"/>
          </w:p>
        </w:tc>
        <w:tc>
          <w:tcPr>
            <w:tcW w:w="920" w:type="dxa"/>
            <w:tcBorders>
              <w:top w:val="single" w:color="auto" w:sz="4" w:space="0"/>
              <w:left w:val="nil"/>
              <w:bottom w:val="single" w:color="auto" w:sz="4" w:space="0"/>
              <w:right w:val="single" w:color="auto" w:sz="4" w:space="0"/>
            </w:tcBorders>
            <w:shd w:val="clear" w:color="auto" w:fill="auto"/>
            <w:vAlign w:val="center"/>
          </w:tcPr>
          <w:p w14:paraId="097DC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17.58</w:t>
            </w:r>
          </w:p>
        </w:tc>
        <w:tc>
          <w:tcPr>
            <w:tcW w:w="0" w:type="auto"/>
            <w:tcBorders>
              <w:top w:val="single" w:color="auto" w:sz="4" w:space="0"/>
              <w:left w:val="nil"/>
              <w:bottom w:val="single" w:color="auto" w:sz="4" w:space="0"/>
              <w:right w:val="single" w:color="auto" w:sz="4" w:space="0"/>
            </w:tcBorders>
            <w:shd w:val="clear" w:color="auto" w:fill="auto"/>
            <w:vAlign w:val="center"/>
          </w:tcPr>
          <w:p w14:paraId="3A7E6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tcBorders>
              <w:top w:val="single" w:color="auto" w:sz="4" w:space="0"/>
              <w:left w:val="nil"/>
              <w:bottom w:val="single" w:color="auto" w:sz="4" w:space="0"/>
              <w:right w:val="single" w:color="auto" w:sz="4" w:space="0"/>
            </w:tcBorders>
            <w:shd w:val="clear" w:color="auto" w:fill="auto"/>
            <w:vAlign w:val="center"/>
          </w:tcPr>
          <w:p w14:paraId="1E841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tcBorders>
              <w:top w:val="nil"/>
              <w:left w:val="nil"/>
              <w:bottom w:val="single" w:color="auto" w:sz="4" w:space="0"/>
              <w:right w:val="single" w:color="auto" w:sz="4" w:space="0"/>
            </w:tcBorders>
            <w:shd w:val="clear" w:color="auto" w:fill="auto"/>
            <w:vAlign w:val="center"/>
          </w:tcPr>
          <w:p w14:paraId="4CD83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76D1CD">
        <w:tblPrEx>
          <w:tblCellMar>
            <w:top w:w="0" w:type="dxa"/>
            <w:left w:w="108" w:type="dxa"/>
            <w:bottom w:w="0" w:type="dxa"/>
            <w:right w:w="108" w:type="dxa"/>
          </w:tblCellMar>
        </w:tblPrEx>
        <w:trPr>
          <w:trHeight w:val="438" w:hRule="atLeast"/>
        </w:trPr>
        <w:tc>
          <w:tcPr>
            <w:tcW w:w="1214" w:type="dxa"/>
            <w:gridSpan w:val="2"/>
            <w:vMerge w:val="continue"/>
            <w:tcBorders>
              <w:top w:val="single" w:color="auto" w:sz="4" w:space="0"/>
              <w:left w:val="single" w:color="auto" w:sz="4" w:space="0"/>
              <w:bottom w:val="single" w:color="auto" w:sz="4" w:space="0"/>
              <w:right w:val="single" w:color="auto" w:sz="4" w:space="0"/>
            </w:tcBorders>
            <w:vAlign w:val="center"/>
          </w:tcPr>
          <w:p w14:paraId="65A219E8">
            <w:pPr>
              <w:widowControl/>
              <w:jc w:val="left"/>
              <w:rPr>
                <w:rFonts w:hint="eastAsia" w:ascii="宋体" w:hAnsi="宋体" w:cs="宋体"/>
                <w:color w:val="000000"/>
                <w:kern w:val="0"/>
                <w:sz w:val="20"/>
                <w:szCs w:val="20"/>
              </w:rPr>
            </w:pPr>
          </w:p>
        </w:tc>
        <w:tc>
          <w:tcPr>
            <w:tcW w:w="1514" w:type="dxa"/>
            <w:tcBorders>
              <w:top w:val="single" w:color="auto" w:sz="4" w:space="0"/>
              <w:left w:val="nil"/>
              <w:bottom w:val="single" w:color="auto" w:sz="4" w:space="0"/>
              <w:right w:val="single" w:color="auto" w:sz="4" w:space="0"/>
            </w:tcBorders>
            <w:shd w:val="clear" w:color="auto" w:fill="auto"/>
            <w:vAlign w:val="center"/>
          </w:tcPr>
          <w:p w14:paraId="16C8B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34" w:type="dxa"/>
            <w:tcBorders>
              <w:top w:val="nil"/>
              <w:left w:val="nil"/>
              <w:bottom w:val="single" w:color="auto" w:sz="4" w:space="0"/>
              <w:right w:val="single" w:color="auto" w:sz="4" w:space="0"/>
            </w:tcBorders>
            <w:shd w:val="clear" w:color="auto" w:fill="auto"/>
            <w:vAlign w:val="center"/>
          </w:tcPr>
          <w:p w14:paraId="2DE28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5" w:type="dxa"/>
            <w:tcBorders>
              <w:top w:val="single" w:color="auto" w:sz="4" w:space="0"/>
              <w:left w:val="nil"/>
              <w:bottom w:val="single" w:color="auto" w:sz="4" w:space="0"/>
              <w:right w:val="single" w:color="auto" w:sz="4" w:space="0"/>
            </w:tcBorders>
            <w:shd w:val="clear" w:color="auto" w:fill="auto"/>
            <w:vAlign w:val="center"/>
          </w:tcPr>
          <w:p w14:paraId="67834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0" w:type="dxa"/>
            <w:tcBorders>
              <w:top w:val="single" w:color="auto" w:sz="4" w:space="0"/>
              <w:left w:val="nil"/>
              <w:bottom w:val="single" w:color="auto" w:sz="4" w:space="0"/>
              <w:right w:val="single" w:color="auto" w:sz="4" w:space="0"/>
            </w:tcBorders>
            <w:shd w:val="clear" w:color="auto" w:fill="auto"/>
            <w:vAlign w:val="center"/>
          </w:tcPr>
          <w:p w14:paraId="330F3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0" w:type="auto"/>
            <w:tcBorders>
              <w:top w:val="single" w:color="auto" w:sz="4" w:space="0"/>
              <w:left w:val="nil"/>
              <w:bottom w:val="single" w:color="auto" w:sz="4" w:space="0"/>
              <w:right w:val="single" w:color="auto" w:sz="4" w:space="0"/>
            </w:tcBorders>
            <w:shd w:val="clear" w:color="auto" w:fill="auto"/>
            <w:vAlign w:val="center"/>
          </w:tcPr>
          <w:p w14:paraId="6A642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tcBorders>
              <w:top w:val="single" w:color="auto" w:sz="4" w:space="0"/>
              <w:left w:val="nil"/>
              <w:bottom w:val="single" w:color="auto" w:sz="4" w:space="0"/>
              <w:right w:val="single" w:color="auto" w:sz="4" w:space="0"/>
            </w:tcBorders>
            <w:shd w:val="clear" w:color="auto" w:fill="auto"/>
            <w:vAlign w:val="center"/>
          </w:tcPr>
          <w:p w14:paraId="1E4FA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tcBorders>
              <w:top w:val="nil"/>
              <w:left w:val="nil"/>
              <w:bottom w:val="single" w:color="auto" w:sz="4" w:space="0"/>
              <w:right w:val="single" w:color="auto" w:sz="4" w:space="0"/>
            </w:tcBorders>
            <w:shd w:val="clear" w:color="auto" w:fill="auto"/>
            <w:vAlign w:val="center"/>
          </w:tcPr>
          <w:p w14:paraId="70B60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74B088">
        <w:tblPrEx>
          <w:tblCellMar>
            <w:top w:w="0" w:type="dxa"/>
            <w:left w:w="108" w:type="dxa"/>
            <w:bottom w:w="0" w:type="dxa"/>
            <w:right w:w="108" w:type="dxa"/>
          </w:tblCellMar>
        </w:tblPrEx>
        <w:trPr>
          <w:trHeight w:val="288"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735B6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20" w:type="dxa"/>
            <w:gridSpan w:val="4"/>
            <w:tcBorders>
              <w:top w:val="single" w:color="auto" w:sz="4" w:space="0"/>
              <w:left w:val="nil"/>
              <w:bottom w:val="single" w:color="auto" w:sz="4" w:space="0"/>
              <w:right w:val="single" w:color="auto" w:sz="4" w:space="0"/>
            </w:tcBorders>
            <w:shd w:val="clear" w:color="auto" w:fill="auto"/>
            <w:vAlign w:val="center"/>
          </w:tcPr>
          <w:p w14:paraId="143C1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75" w:type="dxa"/>
            <w:gridSpan w:val="4"/>
            <w:tcBorders>
              <w:top w:val="single" w:color="auto" w:sz="4" w:space="0"/>
              <w:left w:val="nil"/>
              <w:bottom w:val="single" w:color="auto" w:sz="4" w:space="0"/>
              <w:right w:val="single" w:color="auto" w:sz="4" w:space="0"/>
            </w:tcBorders>
            <w:shd w:val="clear" w:color="auto" w:fill="auto"/>
            <w:vAlign w:val="center"/>
          </w:tcPr>
          <w:p w14:paraId="6187F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FFA0FD9">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auto" w:sz="4" w:space="0"/>
              <w:right w:val="single" w:color="auto" w:sz="4" w:space="0"/>
            </w:tcBorders>
            <w:vAlign w:val="center"/>
          </w:tcPr>
          <w:p w14:paraId="6FA520E7">
            <w:pPr>
              <w:widowControl/>
              <w:jc w:val="left"/>
              <w:rPr>
                <w:rFonts w:hint="eastAsia" w:ascii="宋体" w:hAnsi="宋体" w:cs="宋体"/>
                <w:color w:val="000000"/>
                <w:kern w:val="0"/>
                <w:sz w:val="20"/>
                <w:szCs w:val="20"/>
              </w:rPr>
            </w:pPr>
          </w:p>
        </w:tc>
        <w:tc>
          <w:tcPr>
            <w:tcW w:w="4720" w:type="dxa"/>
            <w:gridSpan w:val="4"/>
            <w:tcBorders>
              <w:top w:val="single" w:color="auto" w:sz="4" w:space="0"/>
              <w:left w:val="nil"/>
              <w:bottom w:val="single" w:color="auto" w:sz="4" w:space="0"/>
              <w:right w:val="single" w:color="000000" w:sz="4" w:space="0"/>
            </w:tcBorders>
            <w:shd w:val="clear" w:color="auto" w:fill="auto"/>
          </w:tcPr>
          <w:p w14:paraId="2CEC33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为我单位采购车辆1辆，有效保障公车正常运行，合理购置公务用车资源，对机关公务用车统一调拨，坚持社会化和市场化方向，达到降低公务交通成本，提高行政工作效率的目的。</w:t>
            </w:r>
          </w:p>
        </w:tc>
        <w:tc>
          <w:tcPr>
            <w:tcW w:w="3175" w:type="dxa"/>
            <w:gridSpan w:val="4"/>
            <w:tcBorders>
              <w:top w:val="single" w:color="auto" w:sz="4" w:space="0"/>
              <w:left w:val="nil"/>
              <w:bottom w:val="single" w:color="auto" w:sz="4" w:space="0"/>
              <w:right w:val="single" w:color="000000" w:sz="4" w:space="0"/>
            </w:tcBorders>
            <w:shd w:val="clear" w:color="auto" w:fill="auto"/>
          </w:tcPr>
          <w:p w14:paraId="7C7CEF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已完成1辆</w:t>
            </w:r>
            <w:r>
              <w:rPr>
                <w:rFonts w:hint="eastAsia" w:ascii="宋体" w:hAnsi="宋体" w:cs="宋体"/>
                <w:color w:val="000000"/>
                <w:kern w:val="0"/>
                <w:sz w:val="20"/>
                <w:szCs w:val="20"/>
                <w:lang w:eastAsia="zh-CN"/>
              </w:rPr>
              <w:t>车</w:t>
            </w:r>
            <w:r>
              <w:rPr>
                <w:rFonts w:hint="eastAsia" w:ascii="宋体" w:hAnsi="宋体" w:cs="宋体"/>
                <w:color w:val="000000"/>
                <w:kern w:val="0"/>
                <w:sz w:val="20"/>
                <w:szCs w:val="20"/>
              </w:rPr>
              <w:t>采购任务，有效保障公车正常运行，合理购置公务用车资源，对机关公务用车统一调拨，坚持社会化和市场化方向，达到降低公务交通成本，提高行政工作效率的目的。</w:t>
            </w:r>
          </w:p>
        </w:tc>
      </w:tr>
      <w:tr w14:paraId="3D9D6FD3">
        <w:tblPrEx>
          <w:tblCellMar>
            <w:top w:w="0" w:type="dxa"/>
            <w:left w:w="108" w:type="dxa"/>
            <w:bottom w:w="0" w:type="dxa"/>
            <w:right w:w="108" w:type="dxa"/>
          </w:tblCellMar>
        </w:tblPrEx>
        <w:trPr>
          <w:trHeight w:val="312"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73EDD5D">
            <w:pPr>
              <w:widowControl/>
              <w:jc w:val="center"/>
              <w:rPr>
                <w:rFonts w:hint="eastAsia" w:ascii="宋体" w:hAnsi="宋体" w:cs="宋体"/>
                <w:color w:val="000000"/>
                <w:kern w:val="0"/>
                <w:sz w:val="20"/>
                <w:szCs w:val="20"/>
              </w:rPr>
            </w:pPr>
          </w:p>
        </w:tc>
        <w:tc>
          <w:tcPr>
            <w:tcW w:w="587" w:type="dxa"/>
            <w:vMerge w:val="restart"/>
            <w:tcBorders>
              <w:top w:val="nil"/>
              <w:left w:val="single" w:color="auto" w:sz="4" w:space="0"/>
              <w:bottom w:val="single" w:color="auto" w:sz="4" w:space="0"/>
              <w:right w:val="single" w:color="auto" w:sz="4" w:space="0"/>
            </w:tcBorders>
            <w:shd w:val="clear" w:color="auto" w:fill="auto"/>
            <w:vAlign w:val="center"/>
          </w:tcPr>
          <w:p w14:paraId="61BEF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14" w:type="dxa"/>
            <w:vMerge w:val="restart"/>
            <w:tcBorders>
              <w:top w:val="nil"/>
              <w:left w:val="single" w:color="auto" w:sz="4" w:space="0"/>
              <w:bottom w:val="single" w:color="auto" w:sz="4" w:space="0"/>
              <w:right w:val="single" w:color="auto" w:sz="4" w:space="0"/>
            </w:tcBorders>
            <w:shd w:val="clear" w:color="auto" w:fill="auto"/>
            <w:vAlign w:val="center"/>
          </w:tcPr>
          <w:p w14:paraId="752FA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7A9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85" w:type="dxa"/>
            <w:vMerge w:val="restart"/>
            <w:tcBorders>
              <w:top w:val="nil"/>
              <w:left w:val="single" w:color="auto" w:sz="4" w:space="0"/>
              <w:bottom w:val="single" w:color="auto" w:sz="4" w:space="0"/>
              <w:right w:val="single" w:color="auto" w:sz="4" w:space="0"/>
            </w:tcBorders>
            <w:shd w:val="clear" w:color="auto" w:fill="auto"/>
            <w:vAlign w:val="center"/>
          </w:tcPr>
          <w:p w14:paraId="167CE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20" w:type="dxa"/>
            <w:vMerge w:val="restart"/>
            <w:tcBorders>
              <w:top w:val="nil"/>
              <w:left w:val="single" w:color="auto" w:sz="4" w:space="0"/>
              <w:bottom w:val="single" w:color="auto" w:sz="4" w:space="0"/>
              <w:right w:val="single" w:color="auto" w:sz="4" w:space="0"/>
            </w:tcBorders>
            <w:shd w:val="clear" w:color="auto" w:fill="auto"/>
            <w:vAlign w:val="center"/>
          </w:tcPr>
          <w:p w14:paraId="51B72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525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58D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DDC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DC02AA">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14:paraId="5BD7CB57">
            <w:pPr>
              <w:widowControl/>
              <w:jc w:val="left"/>
              <w:rPr>
                <w:rFonts w:hint="eastAsia" w:ascii="宋体" w:hAnsi="宋体" w:cs="宋体"/>
                <w:color w:val="000000"/>
                <w:kern w:val="0"/>
                <w:sz w:val="20"/>
                <w:szCs w:val="20"/>
              </w:rPr>
            </w:pPr>
          </w:p>
        </w:tc>
        <w:tc>
          <w:tcPr>
            <w:tcW w:w="587" w:type="dxa"/>
            <w:vMerge w:val="continue"/>
            <w:tcBorders>
              <w:top w:val="nil"/>
              <w:left w:val="single" w:color="auto" w:sz="4" w:space="0"/>
              <w:bottom w:val="single" w:color="auto" w:sz="4" w:space="0"/>
              <w:right w:val="single" w:color="auto" w:sz="4" w:space="0"/>
            </w:tcBorders>
            <w:vAlign w:val="center"/>
          </w:tcPr>
          <w:p w14:paraId="00A0B2B5">
            <w:pPr>
              <w:widowControl/>
              <w:jc w:val="left"/>
              <w:rPr>
                <w:rFonts w:hint="eastAsia" w:ascii="宋体" w:hAnsi="宋体" w:cs="宋体"/>
                <w:color w:val="000000"/>
                <w:kern w:val="0"/>
                <w:sz w:val="20"/>
                <w:szCs w:val="20"/>
              </w:rPr>
            </w:pPr>
          </w:p>
        </w:tc>
        <w:tc>
          <w:tcPr>
            <w:tcW w:w="1514" w:type="dxa"/>
            <w:vMerge w:val="continue"/>
            <w:tcBorders>
              <w:top w:val="nil"/>
              <w:left w:val="single" w:color="auto" w:sz="4" w:space="0"/>
              <w:bottom w:val="single" w:color="auto" w:sz="4" w:space="0"/>
              <w:right w:val="single" w:color="auto" w:sz="4" w:space="0"/>
            </w:tcBorders>
            <w:vAlign w:val="center"/>
          </w:tcPr>
          <w:p w14:paraId="2FF48506">
            <w:pPr>
              <w:widowControl/>
              <w:jc w:val="left"/>
              <w:rPr>
                <w:rFonts w:hint="eastAsia" w:ascii="宋体" w:hAnsi="宋体" w:cs="宋体"/>
                <w:color w:val="000000"/>
                <w:kern w:val="0"/>
                <w:sz w:val="20"/>
                <w:szCs w:val="20"/>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2A004A8">
            <w:pPr>
              <w:widowControl/>
              <w:jc w:val="left"/>
              <w:rPr>
                <w:rFonts w:hint="eastAsia" w:ascii="宋体" w:hAnsi="宋体" w:cs="宋体"/>
                <w:color w:val="000000"/>
                <w:kern w:val="0"/>
                <w:sz w:val="20"/>
                <w:szCs w:val="20"/>
              </w:rPr>
            </w:pPr>
          </w:p>
        </w:tc>
        <w:tc>
          <w:tcPr>
            <w:tcW w:w="1485" w:type="dxa"/>
            <w:vMerge w:val="continue"/>
            <w:tcBorders>
              <w:top w:val="nil"/>
              <w:left w:val="single" w:color="auto" w:sz="4" w:space="0"/>
              <w:bottom w:val="single" w:color="auto" w:sz="4" w:space="0"/>
              <w:right w:val="single" w:color="auto" w:sz="4" w:space="0"/>
            </w:tcBorders>
            <w:vAlign w:val="center"/>
          </w:tcPr>
          <w:p w14:paraId="5FDF7F54">
            <w:pPr>
              <w:widowControl/>
              <w:jc w:val="left"/>
              <w:rPr>
                <w:rFonts w:hint="eastAsia" w:ascii="宋体" w:hAnsi="宋体" w:cs="宋体"/>
                <w:color w:val="000000"/>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1C249707">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2C2B565">
            <w:pPr>
              <w:widowControl/>
              <w:jc w:val="left"/>
              <w:rPr>
                <w:rFonts w:hint="eastAsia" w:ascii="宋体" w:hAnsi="宋体" w:cs="宋体"/>
                <w:color w:val="000000"/>
                <w:kern w:val="0"/>
                <w:sz w:val="20"/>
                <w:szCs w:val="20"/>
              </w:rPr>
            </w:pPr>
          </w:p>
        </w:tc>
        <w:tc>
          <w:tcPr>
            <w:tcW w:w="916" w:type="dxa"/>
            <w:vMerge w:val="continue"/>
            <w:tcBorders>
              <w:top w:val="single" w:color="auto" w:sz="4" w:space="0"/>
              <w:left w:val="single" w:color="auto" w:sz="4" w:space="0"/>
              <w:bottom w:val="single" w:color="auto" w:sz="4" w:space="0"/>
              <w:right w:val="single" w:color="auto" w:sz="4" w:space="0"/>
            </w:tcBorders>
            <w:vAlign w:val="center"/>
          </w:tcPr>
          <w:p w14:paraId="42B5B2F7">
            <w:pPr>
              <w:widowControl/>
              <w:jc w:val="left"/>
              <w:rPr>
                <w:rFonts w:hint="eastAsia" w:ascii="宋体" w:hAnsi="宋体" w:cs="宋体"/>
                <w:color w:val="000000"/>
                <w:kern w:val="0"/>
                <w:sz w:val="20"/>
                <w:szCs w:val="20"/>
              </w:rPr>
            </w:pPr>
          </w:p>
        </w:tc>
        <w:tc>
          <w:tcPr>
            <w:tcW w:w="811" w:type="dxa"/>
            <w:vMerge w:val="continue"/>
            <w:tcBorders>
              <w:top w:val="single" w:color="auto" w:sz="4" w:space="0"/>
              <w:left w:val="single" w:color="auto" w:sz="4" w:space="0"/>
              <w:bottom w:val="single" w:color="auto" w:sz="4" w:space="0"/>
              <w:right w:val="single" w:color="auto" w:sz="4" w:space="0"/>
            </w:tcBorders>
            <w:vAlign w:val="center"/>
          </w:tcPr>
          <w:p w14:paraId="4F9F8E50">
            <w:pPr>
              <w:widowControl/>
              <w:jc w:val="left"/>
              <w:rPr>
                <w:rFonts w:hint="eastAsia" w:ascii="宋体" w:hAnsi="宋体" w:cs="宋体"/>
                <w:color w:val="000000"/>
                <w:kern w:val="0"/>
                <w:sz w:val="20"/>
                <w:szCs w:val="20"/>
              </w:rPr>
            </w:pPr>
          </w:p>
        </w:tc>
      </w:tr>
      <w:tr w14:paraId="3F8BAA7A">
        <w:tblPrEx>
          <w:tblCellMar>
            <w:top w:w="0" w:type="dxa"/>
            <w:left w:w="108" w:type="dxa"/>
            <w:bottom w:w="0" w:type="dxa"/>
            <w:right w:w="108" w:type="dxa"/>
          </w:tblCellMar>
        </w:tblPrEx>
        <w:trPr>
          <w:trHeight w:val="402"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45F2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7" w:type="dxa"/>
            <w:vMerge w:val="restart"/>
            <w:tcBorders>
              <w:top w:val="nil"/>
              <w:left w:val="single" w:color="auto" w:sz="4" w:space="0"/>
              <w:bottom w:val="single" w:color="auto" w:sz="4" w:space="0"/>
              <w:right w:val="single" w:color="auto" w:sz="4" w:space="0"/>
            </w:tcBorders>
            <w:shd w:val="clear" w:color="auto" w:fill="auto"/>
            <w:vAlign w:val="center"/>
          </w:tcPr>
          <w:p w14:paraId="10E97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14" w:type="dxa"/>
            <w:tcBorders>
              <w:top w:val="nil"/>
              <w:left w:val="nil"/>
              <w:bottom w:val="single" w:color="auto" w:sz="4" w:space="0"/>
              <w:right w:val="single" w:color="auto" w:sz="4" w:space="0"/>
            </w:tcBorders>
            <w:shd w:val="clear" w:color="auto" w:fill="auto"/>
            <w:vAlign w:val="center"/>
          </w:tcPr>
          <w:p w14:paraId="66CB3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14:paraId="1CB373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采购车辆</w:t>
            </w:r>
            <w:r>
              <w:rPr>
                <w:rFonts w:hint="eastAsia" w:ascii="宋体" w:hAnsi="宋体" w:cs="宋体"/>
                <w:color w:val="000000"/>
                <w:kern w:val="0"/>
                <w:sz w:val="20"/>
                <w:szCs w:val="20"/>
                <w:lang w:eastAsia="zh-CN"/>
              </w:rPr>
              <w:t>数量</w:t>
            </w:r>
          </w:p>
        </w:tc>
        <w:tc>
          <w:tcPr>
            <w:tcW w:w="1485" w:type="dxa"/>
            <w:tcBorders>
              <w:top w:val="nil"/>
              <w:left w:val="nil"/>
              <w:bottom w:val="single" w:color="auto" w:sz="4" w:space="0"/>
              <w:right w:val="single" w:color="auto" w:sz="4" w:space="0"/>
            </w:tcBorders>
            <w:shd w:val="clear" w:color="auto" w:fill="auto"/>
            <w:vAlign w:val="center"/>
          </w:tcPr>
          <w:p w14:paraId="2B5F2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&gt;=1辆</w:t>
            </w:r>
          </w:p>
        </w:tc>
        <w:tc>
          <w:tcPr>
            <w:tcW w:w="920" w:type="dxa"/>
            <w:tcBorders>
              <w:top w:val="nil"/>
              <w:left w:val="nil"/>
              <w:bottom w:val="single" w:color="auto" w:sz="4" w:space="0"/>
              <w:right w:val="single" w:color="auto" w:sz="4" w:space="0"/>
            </w:tcBorders>
            <w:shd w:val="clear" w:color="auto" w:fill="auto"/>
            <w:vAlign w:val="center"/>
          </w:tcPr>
          <w:p w14:paraId="7C2D0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0" w:type="auto"/>
            <w:tcBorders>
              <w:top w:val="single" w:color="auto" w:sz="4" w:space="0"/>
              <w:left w:val="nil"/>
              <w:bottom w:val="single" w:color="auto" w:sz="4" w:space="0"/>
              <w:right w:val="single" w:color="000000" w:sz="4" w:space="0"/>
            </w:tcBorders>
            <w:shd w:val="clear" w:color="auto" w:fill="auto"/>
            <w:vAlign w:val="center"/>
          </w:tcPr>
          <w:p w14:paraId="658E1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177EC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tcBorders>
              <w:top w:val="single" w:color="auto" w:sz="4" w:space="0"/>
              <w:left w:val="nil"/>
              <w:bottom w:val="single" w:color="auto" w:sz="4" w:space="0"/>
              <w:right w:val="single" w:color="auto" w:sz="4" w:space="0"/>
            </w:tcBorders>
            <w:shd w:val="clear" w:color="auto" w:fill="auto"/>
            <w:vAlign w:val="center"/>
          </w:tcPr>
          <w:p w14:paraId="75893801">
            <w:pPr>
              <w:widowControl/>
              <w:jc w:val="center"/>
              <w:rPr>
                <w:rFonts w:hint="eastAsia" w:ascii="宋体" w:hAnsi="宋体" w:cs="宋体"/>
                <w:color w:val="000000"/>
                <w:kern w:val="0"/>
                <w:sz w:val="20"/>
                <w:szCs w:val="20"/>
              </w:rPr>
            </w:pPr>
          </w:p>
        </w:tc>
      </w:tr>
      <w:tr w14:paraId="553922EC">
        <w:tblPrEx>
          <w:tblCellMar>
            <w:top w:w="0" w:type="dxa"/>
            <w:left w:w="108" w:type="dxa"/>
            <w:bottom w:w="0" w:type="dxa"/>
            <w:right w:w="108" w:type="dxa"/>
          </w:tblCellMar>
        </w:tblPrEx>
        <w:trPr>
          <w:trHeight w:val="402" w:hRule="atLeast"/>
        </w:trPr>
        <w:tc>
          <w:tcPr>
            <w:tcW w:w="0" w:type="auto"/>
            <w:vMerge w:val="continue"/>
            <w:tcBorders>
              <w:top w:val="nil"/>
              <w:left w:val="single" w:color="auto" w:sz="4" w:space="0"/>
              <w:bottom w:val="single" w:color="auto" w:sz="4" w:space="0"/>
              <w:right w:val="single" w:color="auto" w:sz="4" w:space="0"/>
            </w:tcBorders>
            <w:vAlign w:val="center"/>
          </w:tcPr>
          <w:p w14:paraId="6C17E9ED">
            <w:pPr>
              <w:widowControl/>
              <w:jc w:val="left"/>
              <w:rPr>
                <w:rFonts w:hint="eastAsia" w:ascii="宋体" w:hAnsi="宋体" w:cs="宋体"/>
                <w:color w:val="000000"/>
                <w:kern w:val="0"/>
                <w:sz w:val="20"/>
                <w:szCs w:val="20"/>
              </w:rPr>
            </w:pPr>
          </w:p>
        </w:tc>
        <w:tc>
          <w:tcPr>
            <w:tcW w:w="587" w:type="dxa"/>
            <w:vMerge w:val="continue"/>
            <w:tcBorders>
              <w:top w:val="nil"/>
              <w:left w:val="single" w:color="auto" w:sz="4" w:space="0"/>
              <w:bottom w:val="single" w:color="auto" w:sz="4" w:space="0"/>
              <w:right w:val="single" w:color="auto" w:sz="4" w:space="0"/>
            </w:tcBorders>
            <w:vAlign w:val="center"/>
          </w:tcPr>
          <w:p w14:paraId="6C76209B">
            <w:pPr>
              <w:widowControl/>
              <w:jc w:val="left"/>
              <w:rPr>
                <w:rFonts w:hint="eastAsia" w:ascii="宋体" w:hAnsi="宋体" w:cs="宋体"/>
                <w:color w:val="000000"/>
                <w:kern w:val="0"/>
                <w:sz w:val="20"/>
                <w:szCs w:val="20"/>
              </w:rPr>
            </w:pPr>
          </w:p>
        </w:tc>
        <w:tc>
          <w:tcPr>
            <w:tcW w:w="1514" w:type="dxa"/>
            <w:tcBorders>
              <w:top w:val="nil"/>
              <w:left w:val="nil"/>
              <w:bottom w:val="single" w:color="auto" w:sz="4" w:space="0"/>
              <w:right w:val="single" w:color="auto" w:sz="4" w:space="0"/>
            </w:tcBorders>
            <w:shd w:val="clear" w:color="auto" w:fill="auto"/>
            <w:vAlign w:val="center"/>
          </w:tcPr>
          <w:p w14:paraId="0ACDC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14:paraId="14A6B7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购置车辆质量合格率</w:t>
            </w:r>
          </w:p>
        </w:tc>
        <w:tc>
          <w:tcPr>
            <w:tcW w:w="1485" w:type="dxa"/>
            <w:tcBorders>
              <w:top w:val="nil"/>
              <w:left w:val="nil"/>
              <w:bottom w:val="single" w:color="auto" w:sz="4" w:space="0"/>
              <w:right w:val="single" w:color="auto" w:sz="4" w:space="0"/>
            </w:tcBorders>
            <w:shd w:val="clear" w:color="auto" w:fill="auto"/>
            <w:vAlign w:val="center"/>
          </w:tcPr>
          <w:p w14:paraId="5AEC2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303B2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000000" w:sz="4" w:space="0"/>
            </w:tcBorders>
            <w:shd w:val="clear" w:color="auto" w:fill="auto"/>
            <w:vAlign w:val="center"/>
          </w:tcPr>
          <w:p w14:paraId="68019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1F8CA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tcBorders>
              <w:top w:val="single" w:color="auto" w:sz="4" w:space="0"/>
              <w:left w:val="nil"/>
              <w:bottom w:val="single" w:color="auto" w:sz="4" w:space="0"/>
              <w:right w:val="single" w:color="auto" w:sz="4" w:space="0"/>
            </w:tcBorders>
            <w:shd w:val="clear" w:color="auto" w:fill="auto"/>
            <w:vAlign w:val="center"/>
          </w:tcPr>
          <w:p w14:paraId="7240FBB3">
            <w:pPr>
              <w:widowControl/>
              <w:jc w:val="center"/>
              <w:rPr>
                <w:rFonts w:hint="eastAsia" w:ascii="宋体" w:hAnsi="宋体" w:cs="宋体"/>
                <w:color w:val="000000"/>
                <w:kern w:val="0"/>
                <w:sz w:val="20"/>
                <w:szCs w:val="20"/>
              </w:rPr>
            </w:pPr>
          </w:p>
        </w:tc>
      </w:tr>
      <w:tr w14:paraId="7E162A64">
        <w:tblPrEx>
          <w:tblCellMar>
            <w:top w:w="0" w:type="dxa"/>
            <w:left w:w="108" w:type="dxa"/>
            <w:bottom w:w="0" w:type="dxa"/>
            <w:right w:w="108" w:type="dxa"/>
          </w:tblCellMar>
        </w:tblPrEx>
        <w:trPr>
          <w:trHeight w:val="402" w:hRule="atLeast"/>
        </w:trPr>
        <w:tc>
          <w:tcPr>
            <w:tcW w:w="0" w:type="auto"/>
            <w:vMerge w:val="continue"/>
            <w:tcBorders>
              <w:top w:val="nil"/>
              <w:left w:val="single" w:color="auto" w:sz="4" w:space="0"/>
              <w:bottom w:val="single" w:color="auto" w:sz="4" w:space="0"/>
              <w:right w:val="single" w:color="auto" w:sz="4" w:space="0"/>
            </w:tcBorders>
            <w:vAlign w:val="center"/>
          </w:tcPr>
          <w:p w14:paraId="0BFD8FDB">
            <w:pPr>
              <w:widowControl/>
              <w:jc w:val="left"/>
              <w:rPr>
                <w:rFonts w:hint="eastAsia" w:ascii="宋体" w:hAnsi="宋体" w:cs="宋体"/>
                <w:color w:val="000000"/>
                <w:kern w:val="0"/>
                <w:sz w:val="20"/>
                <w:szCs w:val="20"/>
              </w:rPr>
            </w:pPr>
          </w:p>
        </w:tc>
        <w:tc>
          <w:tcPr>
            <w:tcW w:w="587" w:type="dxa"/>
            <w:vMerge w:val="continue"/>
            <w:tcBorders>
              <w:top w:val="nil"/>
              <w:left w:val="single" w:color="auto" w:sz="4" w:space="0"/>
              <w:bottom w:val="single" w:color="auto" w:sz="4" w:space="0"/>
              <w:right w:val="single" w:color="auto" w:sz="4" w:space="0"/>
            </w:tcBorders>
            <w:vAlign w:val="center"/>
          </w:tcPr>
          <w:p w14:paraId="1984690D">
            <w:pPr>
              <w:widowControl/>
              <w:jc w:val="left"/>
              <w:rPr>
                <w:rFonts w:hint="eastAsia" w:ascii="宋体" w:hAnsi="宋体" w:cs="宋体"/>
                <w:color w:val="000000"/>
                <w:kern w:val="0"/>
                <w:sz w:val="20"/>
                <w:szCs w:val="20"/>
              </w:rPr>
            </w:pPr>
          </w:p>
        </w:tc>
        <w:tc>
          <w:tcPr>
            <w:tcW w:w="1514" w:type="dxa"/>
            <w:tcBorders>
              <w:top w:val="nil"/>
              <w:left w:val="nil"/>
              <w:bottom w:val="single" w:color="auto" w:sz="4" w:space="0"/>
              <w:right w:val="single" w:color="auto" w:sz="4" w:space="0"/>
            </w:tcBorders>
            <w:shd w:val="clear" w:color="auto" w:fill="auto"/>
            <w:vAlign w:val="center"/>
          </w:tcPr>
          <w:p w14:paraId="07BED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14:paraId="4029B6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485" w:type="dxa"/>
            <w:tcBorders>
              <w:top w:val="nil"/>
              <w:left w:val="nil"/>
              <w:bottom w:val="single" w:color="auto" w:sz="4" w:space="0"/>
              <w:right w:val="single" w:color="auto" w:sz="4" w:space="0"/>
            </w:tcBorders>
            <w:shd w:val="clear" w:color="auto" w:fill="auto"/>
            <w:vAlign w:val="center"/>
          </w:tcPr>
          <w:p w14:paraId="1B56F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71BDA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000000" w:sz="4" w:space="0"/>
            </w:tcBorders>
            <w:shd w:val="clear" w:color="auto" w:fill="auto"/>
            <w:vAlign w:val="center"/>
          </w:tcPr>
          <w:p w14:paraId="145F6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2BC0F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tcBorders>
              <w:top w:val="single" w:color="auto" w:sz="4" w:space="0"/>
              <w:left w:val="nil"/>
              <w:bottom w:val="single" w:color="auto" w:sz="4" w:space="0"/>
              <w:right w:val="single" w:color="auto" w:sz="4" w:space="0"/>
            </w:tcBorders>
            <w:shd w:val="clear" w:color="auto" w:fill="auto"/>
            <w:vAlign w:val="center"/>
          </w:tcPr>
          <w:p w14:paraId="241F7444">
            <w:pPr>
              <w:widowControl/>
              <w:jc w:val="center"/>
              <w:rPr>
                <w:rFonts w:hint="eastAsia" w:ascii="宋体" w:hAnsi="宋体" w:cs="宋体"/>
                <w:color w:val="000000"/>
                <w:kern w:val="0"/>
                <w:sz w:val="20"/>
                <w:szCs w:val="20"/>
              </w:rPr>
            </w:pPr>
          </w:p>
        </w:tc>
      </w:tr>
      <w:tr w14:paraId="3812107B">
        <w:tblPrEx>
          <w:tblCellMar>
            <w:top w:w="0" w:type="dxa"/>
            <w:left w:w="108" w:type="dxa"/>
            <w:bottom w:w="0" w:type="dxa"/>
            <w:right w:w="108" w:type="dxa"/>
          </w:tblCellMar>
        </w:tblPrEx>
        <w:trPr>
          <w:trHeight w:val="402" w:hRule="atLeast"/>
        </w:trPr>
        <w:tc>
          <w:tcPr>
            <w:tcW w:w="0" w:type="auto"/>
            <w:vMerge w:val="continue"/>
            <w:tcBorders>
              <w:top w:val="nil"/>
              <w:left w:val="single" w:color="auto" w:sz="4" w:space="0"/>
              <w:bottom w:val="single" w:color="auto" w:sz="4" w:space="0"/>
              <w:right w:val="single" w:color="auto" w:sz="4" w:space="0"/>
            </w:tcBorders>
            <w:vAlign w:val="center"/>
          </w:tcPr>
          <w:p w14:paraId="3365370A">
            <w:pPr>
              <w:widowControl/>
              <w:jc w:val="left"/>
              <w:rPr>
                <w:rFonts w:hint="eastAsia" w:ascii="宋体" w:hAnsi="宋体" w:cs="宋体"/>
                <w:color w:val="000000"/>
                <w:kern w:val="0"/>
                <w:sz w:val="20"/>
                <w:szCs w:val="20"/>
              </w:rPr>
            </w:pPr>
          </w:p>
        </w:tc>
        <w:tc>
          <w:tcPr>
            <w:tcW w:w="587" w:type="dxa"/>
            <w:vMerge w:val="continue"/>
            <w:tcBorders>
              <w:top w:val="nil"/>
              <w:left w:val="single" w:color="auto" w:sz="4" w:space="0"/>
              <w:bottom w:val="single" w:color="auto" w:sz="4" w:space="0"/>
              <w:right w:val="single" w:color="auto" w:sz="4" w:space="0"/>
            </w:tcBorders>
            <w:vAlign w:val="center"/>
          </w:tcPr>
          <w:p w14:paraId="4CFD4616">
            <w:pPr>
              <w:widowControl/>
              <w:jc w:val="left"/>
              <w:rPr>
                <w:rFonts w:hint="eastAsia" w:ascii="宋体" w:hAnsi="宋体" w:cs="宋体"/>
                <w:color w:val="000000"/>
                <w:kern w:val="0"/>
                <w:sz w:val="20"/>
                <w:szCs w:val="20"/>
              </w:rPr>
            </w:pPr>
          </w:p>
        </w:tc>
        <w:tc>
          <w:tcPr>
            <w:tcW w:w="1514" w:type="dxa"/>
            <w:tcBorders>
              <w:top w:val="nil"/>
              <w:left w:val="nil"/>
              <w:bottom w:val="single" w:color="auto" w:sz="4" w:space="0"/>
              <w:right w:val="single" w:color="auto" w:sz="4" w:space="0"/>
            </w:tcBorders>
            <w:shd w:val="clear" w:color="auto" w:fill="auto"/>
            <w:vAlign w:val="center"/>
          </w:tcPr>
          <w:p w14:paraId="2B769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14:paraId="7E90C9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购置完成时间</w:t>
            </w:r>
          </w:p>
        </w:tc>
        <w:tc>
          <w:tcPr>
            <w:tcW w:w="1485" w:type="dxa"/>
            <w:tcBorders>
              <w:top w:val="nil"/>
              <w:left w:val="nil"/>
              <w:bottom w:val="single" w:color="auto" w:sz="4" w:space="0"/>
              <w:right w:val="single" w:color="auto" w:sz="4" w:space="0"/>
            </w:tcBorders>
            <w:shd w:val="clear" w:color="auto" w:fill="auto"/>
            <w:vAlign w:val="center"/>
          </w:tcPr>
          <w:p w14:paraId="139D4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2023年7月30日</w:t>
            </w:r>
          </w:p>
        </w:tc>
        <w:tc>
          <w:tcPr>
            <w:tcW w:w="920" w:type="dxa"/>
            <w:tcBorders>
              <w:top w:val="nil"/>
              <w:left w:val="nil"/>
              <w:bottom w:val="single" w:color="auto" w:sz="4" w:space="0"/>
              <w:right w:val="single" w:color="auto" w:sz="4" w:space="0"/>
            </w:tcBorders>
            <w:shd w:val="clear" w:color="auto" w:fill="auto"/>
            <w:vAlign w:val="center"/>
          </w:tcPr>
          <w:p w14:paraId="13216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=2023年7月30日</w:t>
            </w:r>
          </w:p>
        </w:tc>
        <w:tc>
          <w:tcPr>
            <w:tcW w:w="0" w:type="auto"/>
            <w:tcBorders>
              <w:top w:val="single" w:color="auto" w:sz="4" w:space="0"/>
              <w:left w:val="nil"/>
              <w:bottom w:val="single" w:color="auto" w:sz="4" w:space="0"/>
              <w:right w:val="single" w:color="000000" w:sz="4" w:space="0"/>
            </w:tcBorders>
            <w:shd w:val="clear" w:color="auto" w:fill="auto"/>
            <w:vAlign w:val="center"/>
          </w:tcPr>
          <w:p w14:paraId="0477D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047F7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tcBorders>
              <w:top w:val="single" w:color="auto" w:sz="4" w:space="0"/>
              <w:left w:val="nil"/>
              <w:bottom w:val="single" w:color="auto" w:sz="4" w:space="0"/>
              <w:right w:val="single" w:color="auto" w:sz="4" w:space="0"/>
            </w:tcBorders>
            <w:shd w:val="clear" w:color="auto" w:fill="auto"/>
            <w:vAlign w:val="center"/>
          </w:tcPr>
          <w:p w14:paraId="2987C119">
            <w:pPr>
              <w:widowControl/>
              <w:jc w:val="center"/>
              <w:rPr>
                <w:rFonts w:hint="eastAsia" w:ascii="宋体" w:hAnsi="宋体" w:cs="宋体"/>
                <w:color w:val="000000"/>
                <w:kern w:val="0"/>
                <w:sz w:val="20"/>
                <w:szCs w:val="20"/>
              </w:rPr>
            </w:pPr>
          </w:p>
        </w:tc>
      </w:tr>
      <w:tr w14:paraId="3D129F89">
        <w:tblPrEx>
          <w:tblCellMar>
            <w:top w:w="0" w:type="dxa"/>
            <w:left w:w="108" w:type="dxa"/>
            <w:bottom w:w="0" w:type="dxa"/>
            <w:right w:w="108" w:type="dxa"/>
          </w:tblCellMar>
        </w:tblPrEx>
        <w:trPr>
          <w:trHeight w:val="402" w:hRule="atLeast"/>
        </w:trPr>
        <w:tc>
          <w:tcPr>
            <w:tcW w:w="0" w:type="auto"/>
            <w:vMerge w:val="continue"/>
            <w:tcBorders>
              <w:top w:val="nil"/>
              <w:left w:val="single" w:color="auto" w:sz="4" w:space="0"/>
              <w:bottom w:val="single" w:color="auto" w:sz="4" w:space="0"/>
              <w:right w:val="single" w:color="auto" w:sz="4" w:space="0"/>
            </w:tcBorders>
            <w:vAlign w:val="center"/>
          </w:tcPr>
          <w:p w14:paraId="280F0A4A">
            <w:pPr>
              <w:widowControl/>
              <w:jc w:val="left"/>
              <w:rPr>
                <w:rFonts w:hint="eastAsia" w:ascii="宋体" w:hAnsi="宋体" w:cs="宋体"/>
                <w:color w:val="000000"/>
                <w:kern w:val="0"/>
                <w:sz w:val="20"/>
                <w:szCs w:val="20"/>
              </w:rPr>
            </w:pPr>
          </w:p>
        </w:tc>
        <w:tc>
          <w:tcPr>
            <w:tcW w:w="587" w:type="dxa"/>
            <w:vMerge w:val="restart"/>
            <w:tcBorders>
              <w:top w:val="nil"/>
              <w:left w:val="single" w:color="auto" w:sz="4" w:space="0"/>
              <w:bottom w:val="single" w:color="auto" w:sz="4" w:space="0"/>
              <w:right w:val="single" w:color="auto" w:sz="4" w:space="0"/>
            </w:tcBorders>
            <w:shd w:val="clear" w:color="auto" w:fill="auto"/>
            <w:vAlign w:val="center"/>
          </w:tcPr>
          <w:p w14:paraId="640A7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14" w:type="dxa"/>
            <w:tcBorders>
              <w:top w:val="nil"/>
              <w:left w:val="nil"/>
              <w:bottom w:val="single" w:color="auto" w:sz="4" w:space="0"/>
              <w:right w:val="single" w:color="auto" w:sz="4" w:space="0"/>
            </w:tcBorders>
            <w:shd w:val="clear" w:color="auto" w:fill="auto"/>
            <w:vAlign w:val="center"/>
          </w:tcPr>
          <w:p w14:paraId="00812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14:paraId="756FDF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485" w:type="dxa"/>
            <w:tcBorders>
              <w:top w:val="nil"/>
              <w:left w:val="nil"/>
              <w:bottom w:val="single" w:color="auto" w:sz="4" w:space="0"/>
              <w:right w:val="single" w:color="auto" w:sz="4" w:space="0"/>
            </w:tcBorders>
            <w:shd w:val="clear" w:color="auto" w:fill="auto"/>
            <w:vAlign w:val="center"/>
          </w:tcPr>
          <w:p w14:paraId="5FE56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20" w:type="dxa"/>
            <w:tcBorders>
              <w:top w:val="nil"/>
              <w:left w:val="nil"/>
              <w:bottom w:val="single" w:color="auto" w:sz="4" w:space="0"/>
              <w:right w:val="single" w:color="auto" w:sz="4" w:space="0"/>
            </w:tcBorders>
            <w:shd w:val="clear" w:color="auto" w:fill="auto"/>
            <w:vAlign w:val="center"/>
          </w:tcPr>
          <w:p w14:paraId="7E867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000000" w:sz="4" w:space="0"/>
            </w:tcBorders>
            <w:shd w:val="clear" w:color="auto" w:fill="auto"/>
            <w:vAlign w:val="center"/>
          </w:tcPr>
          <w:p w14:paraId="072E3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13BE5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tcBorders>
              <w:top w:val="single" w:color="auto" w:sz="4" w:space="0"/>
              <w:left w:val="nil"/>
              <w:bottom w:val="single" w:color="auto" w:sz="4" w:space="0"/>
              <w:right w:val="single" w:color="auto" w:sz="4" w:space="0"/>
            </w:tcBorders>
            <w:shd w:val="clear" w:color="auto" w:fill="auto"/>
            <w:vAlign w:val="center"/>
          </w:tcPr>
          <w:p w14:paraId="07180249">
            <w:pPr>
              <w:widowControl/>
              <w:jc w:val="center"/>
              <w:rPr>
                <w:rFonts w:hint="eastAsia" w:ascii="宋体" w:hAnsi="宋体" w:cs="宋体"/>
                <w:color w:val="000000"/>
                <w:kern w:val="0"/>
                <w:sz w:val="20"/>
                <w:szCs w:val="20"/>
              </w:rPr>
            </w:pPr>
          </w:p>
        </w:tc>
      </w:tr>
      <w:tr w14:paraId="1765FF53">
        <w:tblPrEx>
          <w:tblCellMar>
            <w:top w:w="0" w:type="dxa"/>
            <w:left w:w="108" w:type="dxa"/>
            <w:bottom w:w="0" w:type="dxa"/>
            <w:right w:w="108" w:type="dxa"/>
          </w:tblCellMar>
        </w:tblPrEx>
        <w:trPr>
          <w:trHeight w:val="402" w:hRule="atLeast"/>
        </w:trPr>
        <w:tc>
          <w:tcPr>
            <w:tcW w:w="0" w:type="auto"/>
            <w:vMerge w:val="continue"/>
            <w:tcBorders>
              <w:top w:val="nil"/>
              <w:left w:val="single" w:color="auto" w:sz="4" w:space="0"/>
              <w:bottom w:val="single" w:color="auto" w:sz="4" w:space="0"/>
              <w:right w:val="single" w:color="auto" w:sz="4" w:space="0"/>
            </w:tcBorders>
            <w:vAlign w:val="center"/>
          </w:tcPr>
          <w:p w14:paraId="11EC64FA">
            <w:pPr>
              <w:widowControl/>
              <w:jc w:val="left"/>
              <w:rPr>
                <w:rFonts w:hint="eastAsia" w:ascii="宋体" w:hAnsi="宋体" w:cs="宋体"/>
                <w:color w:val="000000"/>
                <w:kern w:val="0"/>
                <w:sz w:val="20"/>
                <w:szCs w:val="20"/>
              </w:rPr>
            </w:pPr>
          </w:p>
        </w:tc>
        <w:tc>
          <w:tcPr>
            <w:tcW w:w="587" w:type="dxa"/>
            <w:vMerge w:val="continue"/>
            <w:tcBorders>
              <w:top w:val="nil"/>
              <w:left w:val="single" w:color="auto" w:sz="4" w:space="0"/>
              <w:bottom w:val="single" w:color="auto" w:sz="4" w:space="0"/>
              <w:right w:val="single" w:color="auto" w:sz="4" w:space="0"/>
            </w:tcBorders>
            <w:vAlign w:val="center"/>
          </w:tcPr>
          <w:p w14:paraId="34EA8A36">
            <w:pPr>
              <w:widowControl/>
              <w:jc w:val="left"/>
              <w:rPr>
                <w:rFonts w:hint="eastAsia" w:ascii="宋体" w:hAnsi="宋体" w:cs="宋体"/>
                <w:color w:val="000000"/>
                <w:kern w:val="0"/>
                <w:sz w:val="20"/>
                <w:szCs w:val="20"/>
              </w:rPr>
            </w:pPr>
          </w:p>
        </w:tc>
        <w:tc>
          <w:tcPr>
            <w:tcW w:w="1514" w:type="dxa"/>
            <w:tcBorders>
              <w:top w:val="nil"/>
              <w:left w:val="nil"/>
              <w:bottom w:val="single" w:color="auto" w:sz="4" w:space="0"/>
              <w:right w:val="single" w:color="auto" w:sz="4" w:space="0"/>
            </w:tcBorders>
            <w:shd w:val="clear" w:color="auto" w:fill="auto"/>
            <w:vAlign w:val="center"/>
          </w:tcPr>
          <w:p w14:paraId="24C50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14:paraId="359F97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车辆正常使用率</w:t>
            </w:r>
          </w:p>
        </w:tc>
        <w:tc>
          <w:tcPr>
            <w:tcW w:w="1485" w:type="dxa"/>
            <w:tcBorders>
              <w:top w:val="nil"/>
              <w:left w:val="nil"/>
              <w:bottom w:val="single" w:color="auto" w:sz="4" w:space="0"/>
              <w:right w:val="single" w:color="auto" w:sz="4" w:space="0"/>
            </w:tcBorders>
            <w:shd w:val="clear" w:color="auto" w:fill="auto"/>
            <w:vAlign w:val="center"/>
          </w:tcPr>
          <w:p w14:paraId="4676E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59FBC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000000" w:sz="4" w:space="0"/>
            </w:tcBorders>
            <w:shd w:val="clear" w:color="auto" w:fill="auto"/>
            <w:vAlign w:val="center"/>
          </w:tcPr>
          <w:p w14:paraId="2A5E3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7CB67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tcBorders>
              <w:top w:val="single" w:color="auto" w:sz="4" w:space="0"/>
              <w:left w:val="nil"/>
              <w:bottom w:val="single" w:color="auto" w:sz="4" w:space="0"/>
              <w:right w:val="single" w:color="auto" w:sz="4" w:space="0"/>
            </w:tcBorders>
            <w:shd w:val="clear" w:color="auto" w:fill="auto"/>
            <w:vAlign w:val="center"/>
          </w:tcPr>
          <w:p w14:paraId="7EE26469">
            <w:pPr>
              <w:widowControl/>
              <w:jc w:val="center"/>
              <w:rPr>
                <w:rFonts w:hint="eastAsia" w:ascii="宋体" w:hAnsi="宋体" w:cs="宋体"/>
                <w:color w:val="000000"/>
                <w:kern w:val="0"/>
                <w:sz w:val="20"/>
                <w:szCs w:val="20"/>
              </w:rPr>
            </w:pPr>
          </w:p>
        </w:tc>
      </w:tr>
      <w:tr w14:paraId="24E120CE">
        <w:tblPrEx>
          <w:tblCellMar>
            <w:top w:w="0" w:type="dxa"/>
            <w:left w:w="108" w:type="dxa"/>
            <w:bottom w:w="0" w:type="dxa"/>
            <w:right w:w="108" w:type="dxa"/>
          </w:tblCellMar>
        </w:tblPrEx>
        <w:trPr>
          <w:trHeight w:val="402" w:hRule="atLeast"/>
        </w:trPr>
        <w:tc>
          <w:tcPr>
            <w:tcW w:w="0" w:type="auto"/>
            <w:vMerge w:val="continue"/>
            <w:tcBorders>
              <w:top w:val="nil"/>
              <w:left w:val="single" w:color="auto" w:sz="4" w:space="0"/>
              <w:bottom w:val="single" w:color="auto" w:sz="4" w:space="0"/>
              <w:right w:val="single" w:color="auto" w:sz="4" w:space="0"/>
            </w:tcBorders>
            <w:vAlign w:val="center"/>
          </w:tcPr>
          <w:p w14:paraId="499A8702">
            <w:pPr>
              <w:widowControl/>
              <w:jc w:val="left"/>
              <w:rPr>
                <w:rFonts w:hint="eastAsia" w:ascii="宋体" w:hAnsi="宋体" w:cs="宋体"/>
                <w:color w:val="000000"/>
                <w:kern w:val="0"/>
                <w:sz w:val="20"/>
                <w:szCs w:val="20"/>
              </w:rPr>
            </w:pPr>
          </w:p>
        </w:tc>
        <w:tc>
          <w:tcPr>
            <w:tcW w:w="587" w:type="dxa"/>
            <w:tcBorders>
              <w:top w:val="nil"/>
              <w:left w:val="nil"/>
              <w:bottom w:val="single" w:color="auto" w:sz="4" w:space="0"/>
              <w:right w:val="single" w:color="auto" w:sz="4" w:space="0"/>
            </w:tcBorders>
            <w:shd w:val="clear" w:color="auto" w:fill="auto"/>
            <w:vAlign w:val="center"/>
          </w:tcPr>
          <w:p w14:paraId="483A4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4" w:type="dxa"/>
            <w:tcBorders>
              <w:top w:val="nil"/>
              <w:left w:val="nil"/>
              <w:bottom w:val="single" w:color="auto" w:sz="4" w:space="0"/>
              <w:right w:val="single" w:color="auto" w:sz="4" w:space="0"/>
            </w:tcBorders>
            <w:shd w:val="clear" w:color="auto" w:fill="auto"/>
            <w:vAlign w:val="center"/>
          </w:tcPr>
          <w:p w14:paraId="7EC27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14:paraId="04F6D1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1485" w:type="dxa"/>
            <w:tcBorders>
              <w:top w:val="nil"/>
              <w:left w:val="nil"/>
              <w:bottom w:val="single" w:color="auto" w:sz="4" w:space="0"/>
              <w:right w:val="single" w:color="auto" w:sz="4" w:space="0"/>
            </w:tcBorders>
            <w:shd w:val="clear" w:color="auto" w:fill="auto"/>
            <w:vAlign w:val="center"/>
          </w:tcPr>
          <w:p w14:paraId="0BCE1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20" w:type="dxa"/>
            <w:tcBorders>
              <w:top w:val="nil"/>
              <w:left w:val="nil"/>
              <w:bottom w:val="single" w:color="auto" w:sz="4" w:space="0"/>
              <w:right w:val="single" w:color="auto" w:sz="4" w:space="0"/>
            </w:tcBorders>
            <w:shd w:val="clear" w:color="auto" w:fill="auto"/>
            <w:vAlign w:val="center"/>
          </w:tcPr>
          <w:p w14:paraId="7C1B9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tcBorders>
              <w:top w:val="single" w:color="auto" w:sz="4" w:space="0"/>
              <w:left w:val="nil"/>
              <w:bottom w:val="single" w:color="auto" w:sz="4" w:space="0"/>
              <w:right w:val="single" w:color="000000" w:sz="4" w:space="0"/>
            </w:tcBorders>
            <w:shd w:val="clear" w:color="auto" w:fill="auto"/>
            <w:vAlign w:val="center"/>
          </w:tcPr>
          <w:p w14:paraId="49B57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5297A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tcBorders>
              <w:top w:val="single" w:color="auto" w:sz="4" w:space="0"/>
              <w:left w:val="nil"/>
              <w:bottom w:val="single" w:color="auto" w:sz="4" w:space="0"/>
              <w:right w:val="single" w:color="auto" w:sz="4" w:space="0"/>
            </w:tcBorders>
            <w:shd w:val="clear" w:color="auto" w:fill="auto"/>
            <w:vAlign w:val="center"/>
          </w:tcPr>
          <w:p w14:paraId="1FA8E48D">
            <w:pPr>
              <w:widowControl/>
              <w:jc w:val="center"/>
              <w:rPr>
                <w:rFonts w:hint="eastAsia" w:ascii="宋体" w:hAnsi="宋体" w:cs="宋体"/>
                <w:color w:val="000000"/>
                <w:kern w:val="0"/>
                <w:sz w:val="20"/>
                <w:szCs w:val="20"/>
              </w:rPr>
            </w:pPr>
          </w:p>
        </w:tc>
      </w:tr>
      <w:tr w14:paraId="1E59CFE8">
        <w:tblPrEx>
          <w:tblCellMar>
            <w:top w:w="0" w:type="dxa"/>
            <w:left w:w="108" w:type="dxa"/>
            <w:bottom w:w="0" w:type="dxa"/>
            <w:right w:w="108" w:type="dxa"/>
          </w:tblCellMar>
        </w:tblPrEx>
        <w:trPr>
          <w:trHeight w:val="288"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vAlign w:val="center"/>
          </w:tcPr>
          <w:p w14:paraId="6BB43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tcBorders>
              <w:top w:val="single" w:color="auto" w:sz="4" w:space="0"/>
              <w:left w:val="nil"/>
              <w:bottom w:val="single" w:color="auto" w:sz="4" w:space="0"/>
              <w:right w:val="single" w:color="auto" w:sz="4" w:space="0"/>
            </w:tcBorders>
            <w:shd w:val="clear" w:color="auto" w:fill="auto"/>
            <w:vAlign w:val="center"/>
          </w:tcPr>
          <w:p w14:paraId="7B963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single" w:color="auto" w:sz="4" w:space="0"/>
              <w:left w:val="nil"/>
              <w:bottom w:val="single" w:color="auto" w:sz="4" w:space="0"/>
              <w:right w:val="single" w:color="auto" w:sz="4" w:space="0"/>
            </w:tcBorders>
            <w:shd w:val="clear" w:color="auto" w:fill="auto"/>
            <w:vAlign w:val="center"/>
          </w:tcPr>
          <w:p w14:paraId="4BFF7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11" w:type="dxa"/>
            <w:tcBorders>
              <w:top w:val="single" w:color="auto" w:sz="4" w:space="0"/>
              <w:left w:val="nil"/>
              <w:bottom w:val="single" w:color="auto" w:sz="4" w:space="0"/>
              <w:right w:val="single" w:color="auto" w:sz="4" w:space="0"/>
            </w:tcBorders>
            <w:shd w:val="clear" w:color="auto" w:fill="auto"/>
            <w:vAlign w:val="center"/>
          </w:tcPr>
          <w:p w14:paraId="2209A230">
            <w:pPr>
              <w:widowControl/>
              <w:jc w:val="center"/>
              <w:rPr>
                <w:rFonts w:hint="eastAsia" w:ascii="宋体" w:hAnsi="宋体" w:cs="宋体"/>
                <w:color w:val="000000"/>
                <w:kern w:val="0"/>
                <w:sz w:val="20"/>
                <w:szCs w:val="20"/>
              </w:rPr>
            </w:pPr>
          </w:p>
        </w:tc>
      </w:tr>
    </w:tbl>
    <w:p w14:paraId="20E5D87A">
      <w:pPr>
        <w:ind w:firstLine="640" w:firstLineChars="200"/>
        <w:jc w:val="left"/>
        <w:rPr>
          <w:rFonts w:ascii="仿宋_GB2312" w:eastAsia="仿宋_GB2312"/>
          <w:sz w:val="32"/>
          <w:szCs w:val="32"/>
        </w:rPr>
      </w:pPr>
    </w:p>
    <w:p w14:paraId="6B06890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4C32F5F">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A6D62F3">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57E4E5D8">
      <w:pPr>
        <w:jc w:val="center"/>
        <w:outlineLvl w:val="0"/>
        <w:rPr>
          <w:rFonts w:hint="eastAsia" w:ascii="黑体" w:hAnsi="黑体" w:eastAsia="黑体"/>
          <w:sz w:val="32"/>
          <w:szCs w:val="32"/>
        </w:rPr>
      </w:pPr>
      <w:bookmarkStart w:id="31" w:name="_Toc24143"/>
      <w:bookmarkStart w:id="32" w:name="_Toc3250"/>
      <w:r>
        <w:rPr>
          <w:rFonts w:hint="eastAsia" w:ascii="黑体" w:hAnsi="黑体" w:eastAsia="黑体"/>
          <w:sz w:val="32"/>
          <w:szCs w:val="32"/>
        </w:rPr>
        <w:t>第三部分 专业名词解释</w:t>
      </w:r>
      <w:bookmarkEnd w:id="31"/>
      <w:bookmarkEnd w:id="32"/>
    </w:p>
    <w:p w14:paraId="035284E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FC09DC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B71C6A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6DF63C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303215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A2381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F1951F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9695C1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FE105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2C649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BFF8B0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5861E6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54852F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A3C4D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FC44B25">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883A3C1">
      <w:pPr>
        <w:ind w:firstLine="640" w:firstLineChars="200"/>
        <w:outlineLvl w:val="1"/>
        <w:rPr>
          <w:rFonts w:hint="eastAsia"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14:paraId="1D2E10BC">
      <w:pPr>
        <w:ind w:firstLine="640" w:firstLineChars="200"/>
        <w:outlineLvl w:val="1"/>
        <w:rPr>
          <w:rFonts w:hint="eastAsia"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14:paraId="0B44CC2D">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69597F96">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14:paraId="298081E6">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42041751">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31FF523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14:paraId="2B0124DA">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14:paraId="65EF8D1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205B481">
      <w:pPr>
        <w:ind w:firstLine="640" w:firstLineChars="200"/>
        <w:rPr>
          <w:rFonts w:ascii="仿宋_GB2312" w:eastAsia="仿宋_GB2312"/>
          <w:sz w:val="32"/>
          <w:szCs w:val="32"/>
        </w:rPr>
      </w:pPr>
    </w:p>
    <w:p w14:paraId="1FEA955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F7DE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8BD37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18BD37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432DBA"/>
    <w:rsid w:val="00030BCC"/>
    <w:rsid w:val="000B4C02"/>
    <w:rsid w:val="000C33E7"/>
    <w:rsid w:val="000E1473"/>
    <w:rsid w:val="00213C59"/>
    <w:rsid w:val="0030059B"/>
    <w:rsid w:val="003210CE"/>
    <w:rsid w:val="00432DBA"/>
    <w:rsid w:val="00441C44"/>
    <w:rsid w:val="004A532F"/>
    <w:rsid w:val="00501C9C"/>
    <w:rsid w:val="00585697"/>
    <w:rsid w:val="0067016F"/>
    <w:rsid w:val="00691599"/>
    <w:rsid w:val="00705490"/>
    <w:rsid w:val="007C301C"/>
    <w:rsid w:val="0082358D"/>
    <w:rsid w:val="0094293B"/>
    <w:rsid w:val="00A61C15"/>
    <w:rsid w:val="00A65E09"/>
    <w:rsid w:val="00B70D59"/>
    <w:rsid w:val="00D1566F"/>
    <w:rsid w:val="00D96578"/>
    <w:rsid w:val="00E50253"/>
    <w:rsid w:val="00EA1298"/>
    <w:rsid w:val="00EB201D"/>
    <w:rsid w:val="00F1453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975E36"/>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6044</Words>
  <Characters>6911</Characters>
  <Lines>70</Lines>
  <Paragraphs>19</Paragraphs>
  <TotalTime>25</TotalTime>
  <ScaleCrop>false</ScaleCrop>
  <LinksUpToDate>false</LinksUpToDate>
  <CharactersWithSpaces>6937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2024-12-04T09:09:05Z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